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9817" w14:textId="1B1E4ECA" w:rsidR="00636220" w:rsidRPr="009B39EC" w:rsidRDefault="001175B3" w:rsidP="00636220">
      <w:pPr>
        <w:rPr>
          <w:rFonts w:ascii="Arial" w:hAnsi="Arial" w:cs="Arial"/>
          <w:sz w:val="20"/>
          <w:szCs w:val="20"/>
          <w:lang w:val="en-GB"/>
        </w:rPr>
      </w:pPr>
      <w:r w:rsidRPr="009B39EC">
        <w:rPr>
          <w:rFonts w:ascii="Arial" w:hAnsi="Arial" w:cs="Arial"/>
          <w:noProof/>
          <w:sz w:val="20"/>
          <w:szCs w:val="20"/>
          <w:lang w:val="en-GB"/>
        </w:rPr>
        <w:drawing>
          <wp:anchor distT="0" distB="0" distL="114300" distR="114300" simplePos="0" relativeHeight="251659264" behindDoc="1" locked="0" layoutInCell="1" allowOverlap="1" wp14:anchorId="74C16556" wp14:editId="45A733EE">
            <wp:simplePos x="0" y="0"/>
            <wp:positionH relativeFrom="margin">
              <wp:align>center</wp:align>
            </wp:positionH>
            <wp:positionV relativeFrom="paragraph">
              <wp:posOffset>58969</wp:posOffset>
            </wp:positionV>
            <wp:extent cx="1847088" cy="1609344"/>
            <wp:effectExtent l="0" t="0" r="1270" b="0"/>
            <wp:wrapNone/>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pic:cNvPicPr>
                      <a:picLocks noChangeAspect="1" noChangeArrowheads="1"/>
                    </pic:cNvPicPr>
                  </pic:nvPicPr>
                  <pic:blipFill>
                    <a:blip r:embed="rId8"/>
                    <a:srcRect/>
                    <a:stretch>
                      <a:fillRect/>
                    </a:stretch>
                  </pic:blipFill>
                  <pic:spPr bwMode="auto">
                    <a:xfrm>
                      <a:off x="0" y="0"/>
                      <a:ext cx="1847088" cy="1609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6220" w:rsidRPr="009B39EC">
        <w:rPr>
          <w:rFonts w:ascii="Arial" w:hAnsi="Arial" w:cs="Arial"/>
          <w:sz w:val="20"/>
          <w:szCs w:val="20"/>
          <w:lang w:val="en-GB"/>
        </w:rPr>
        <w:t xml:space="preserve"> </w:t>
      </w:r>
    </w:p>
    <w:p w14:paraId="10B06E9E" w14:textId="77777777" w:rsidR="00636220" w:rsidRPr="009B39EC" w:rsidRDefault="00636220" w:rsidP="00636220">
      <w:pPr>
        <w:rPr>
          <w:rFonts w:ascii="Arial" w:hAnsi="Arial" w:cs="Arial"/>
          <w:sz w:val="20"/>
          <w:szCs w:val="20"/>
          <w:lang w:val="en-GB"/>
        </w:rPr>
      </w:pPr>
    </w:p>
    <w:p w14:paraId="5B906915" w14:textId="77777777" w:rsidR="00636220" w:rsidRPr="009B39EC" w:rsidRDefault="00636220" w:rsidP="00636220">
      <w:pPr>
        <w:spacing w:after="0" w:line="240" w:lineRule="auto"/>
        <w:rPr>
          <w:rFonts w:ascii="Arial" w:hAnsi="Arial" w:cs="Arial"/>
          <w:sz w:val="20"/>
          <w:szCs w:val="20"/>
          <w:lang w:val="en-GB"/>
        </w:rPr>
      </w:pPr>
    </w:p>
    <w:p w14:paraId="4E1C219F" w14:textId="77777777" w:rsidR="00636220" w:rsidRPr="009B39EC" w:rsidRDefault="00636220" w:rsidP="00636220">
      <w:pPr>
        <w:spacing w:after="0" w:line="240" w:lineRule="auto"/>
        <w:rPr>
          <w:rFonts w:ascii="Arial" w:hAnsi="Arial" w:cs="Arial"/>
          <w:sz w:val="20"/>
          <w:szCs w:val="20"/>
          <w:lang w:val="en-GB"/>
        </w:rPr>
      </w:pPr>
    </w:p>
    <w:p w14:paraId="412C882C" w14:textId="09E3495B" w:rsidR="00636220" w:rsidRPr="009B39EC" w:rsidRDefault="00636220" w:rsidP="00636220">
      <w:pPr>
        <w:tabs>
          <w:tab w:val="left" w:pos="5529"/>
          <w:tab w:val="left" w:pos="6096"/>
        </w:tabs>
        <w:rPr>
          <w:rFonts w:ascii="Arial" w:hAnsi="Arial" w:cs="Arial"/>
          <w:sz w:val="20"/>
          <w:szCs w:val="20"/>
          <w:lang w:val="en-GB"/>
        </w:rPr>
      </w:pPr>
    </w:p>
    <w:p w14:paraId="6F81E606" w14:textId="65625655" w:rsidR="001175B3" w:rsidRPr="009B39EC" w:rsidRDefault="001175B3" w:rsidP="00636220">
      <w:pPr>
        <w:tabs>
          <w:tab w:val="left" w:pos="5529"/>
          <w:tab w:val="left" w:pos="6096"/>
        </w:tabs>
        <w:rPr>
          <w:rFonts w:ascii="Arial" w:hAnsi="Arial" w:cs="Arial"/>
          <w:sz w:val="20"/>
          <w:szCs w:val="20"/>
          <w:lang w:val="en-GB"/>
        </w:rPr>
      </w:pPr>
    </w:p>
    <w:p w14:paraId="0896F949" w14:textId="22E62968" w:rsidR="001175B3" w:rsidRPr="009B39EC" w:rsidRDefault="001175B3" w:rsidP="00636220">
      <w:pPr>
        <w:tabs>
          <w:tab w:val="left" w:pos="5529"/>
          <w:tab w:val="left" w:pos="6096"/>
        </w:tabs>
        <w:rPr>
          <w:rFonts w:ascii="Arial" w:hAnsi="Arial" w:cs="Arial"/>
          <w:sz w:val="20"/>
          <w:szCs w:val="20"/>
          <w:lang w:val="en-GB"/>
        </w:rPr>
      </w:pPr>
    </w:p>
    <w:p w14:paraId="72CF43FC" w14:textId="07417134" w:rsidR="001175B3" w:rsidRDefault="001175B3" w:rsidP="00636220">
      <w:pPr>
        <w:tabs>
          <w:tab w:val="left" w:pos="5529"/>
          <w:tab w:val="left" w:pos="6096"/>
        </w:tabs>
        <w:rPr>
          <w:rFonts w:ascii="Arial" w:hAnsi="Arial" w:cs="Arial"/>
          <w:sz w:val="20"/>
          <w:szCs w:val="20"/>
          <w:lang w:val="en-GB"/>
        </w:rPr>
      </w:pPr>
    </w:p>
    <w:p w14:paraId="74A079FB" w14:textId="4B7484D3" w:rsidR="009B39EC" w:rsidRDefault="009B39EC" w:rsidP="00636220">
      <w:pPr>
        <w:tabs>
          <w:tab w:val="left" w:pos="5529"/>
          <w:tab w:val="left" w:pos="6096"/>
        </w:tabs>
        <w:rPr>
          <w:rFonts w:ascii="Arial" w:hAnsi="Arial" w:cs="Arial"/>
          <w:sz w:val="20"/>
          <w:szCs w:val="20"/>
          <w:lang w:val="en-GB"/>
        </w:rPr>
      </w:pPr>
    </w:p>
    <w:p w14:paraId="50186932" w14:textId="77777777" w:rsidR="009B39EC" w:rsidRPr="009B39EC" w:rsidRDefault="009B39EC" w:rsidP="00636220">
      <w:pPr>
        <w:tabs>
          <w:tab w:val="left" w:pos="5529"/>
          <w:tab w:val="left" w:pos="6096"/>
        </w:tabs>
        <w:rPr>
          <w:rFonts w:ascii="Arial" w:hAnsi="Arial" w:cs="Arial"/>
          <w:sz w:val="20"/>
          <w:szCs w:val="20"/>
          <w:lang w:val="en-GB"/>
        </w:rPr>
      </w:pPr>
    </w:p>
    <w:p w14:paraId="5C35E68B" w14:textId="77777777" w:rsidR="001175B3" w:rsidRPr="009B39EC" w:rsidRDefault="001175B3" w:rsidP="001175B3">
      <w:pPr>
        <w:jc w:val="center"/>
        <w:rPr>
          <w:rFonts w:ascii="Arial" w:hAnsi="Arial" w:cs="Arial"/>
          <w:b/>
          <w:sz w:val="24"/>
          <w:szCs w:val="24"/>
          <w:lang w:val="en-GB"/>
        </w:rPr>
      </w:pPr>
    </w:p>
    <w:p w14:paraId="79DFB315" w14:textId="166D9306" w:rsidR="001175B3" w:rsidRPr="009B39EC" w:rsidRDefault="001175B3" w:rsidP="001175B3">
      <w:pPr>
        <w:jc w:val="center"/>
        <w:rPr>
          <w:rFonts w:ascii="Arial" w:hAnsi="Arial" w:cs="Arial"/>
          <w:b/>
          <w:sz w:val="24"/>
          <w:szCs w:val="24"/>
          <w:lang w:val="en-GB"/>
        </w:rPr>
      </w:pPr>
      <w:r w:rsidRPr="009B39EC">
        <w:rPr>
          <w:rFonts w:ascii="Arial" w:hAnsi="Arial" w:cs="Arial"/>
          <w:b/>
          <w:sz w:val="24"/>
          <w:szCs w:val="24"/>
          <w:lang w:val="en-GB"/>
        </w:rPr>
        <w:t>R</w:t>
      </w:r>
      <w:r w:rsidR="00F209E4" w:rsidRPr="009B39EC">
        <w:rPr>
          <w:rFonts w:ascii="Arial" w:hAnsi="Arial" w:cs="Arial"/>
          <w:b/>
          <w:sz w:val="24"/>
          <w:szCs w:val="24"/>
          <w:lang w:val="en-GB"/>
        </w:rPr>
        <w:t>E</w:t>
      </w:r>
      <w:r w:rsidRPr="009B39EC">
        <w:rPr>
          <w:rFonts w:ascii="Arial" w:hAnsi="Arial" w:cs="Arial"/>
          <w:b/>
          <w:sz w:val="24"/>
          <w:szCs w:val="24"/>
          <w:lang w:val="en-GB"/>
        </w:rPr>
        <w:t>PORT</w:t>
      </w:r>
    </w:p>
    <w:p w14:paraId="5136003B" w14:textId="77777777" w:rsidR="009B39EC" w:rsidRDefault="001175B3" w:rsidP="00BA4110">
      <w:pPr>
        <w:jc w:val="center"/>
        <w:rPr>
          <w:rFonts w:ascii="Arial" w:hAnsi="Arial" w:cs="Arial"/>
          <w:b/>
          <w:sz w:val="24"/>
          <w:szCs w:val="24"/>
          <w:lang w:val="en-GB"/>
        </w:rPr>
      </w:pPr>
      <w:r w:rsidRPr="009B39EC">
        <w:rPr>
          <w:rFonts w:ascii="Arial" w:hAnsi="Arial" w:cs="Arial"/>
          <w:b/>
          <w:sz w:val="24"/>
          <w:szCs w:val="24"/>
          <w:lang w:val="en-GB"/>
        </w:rPr>
        <w:t xml:space="preserve"> </w:t>
      </w:r>
      <w:r w:rsidR="00F209E4" w:rsidRPr="009B39EC">
        <w:rPr>
          <w:rFonts w:ascii="Arial" w:hAnsi="Arial" w:cs="Arial"/>
          <w:b/>
          <w:sz w:val="24"/>
          <w:szCs w:val="24"/>
          <w:lang w:val="en-GB"/>
        </w:rPr>
        <w:t xml:space="preserve">ON THE IMPLEMENTATION OF RECOMMENDATIONS </w:t>
      </w:r>
    </w:p>
    <w:p w14:paraId="5DB64796" w14:textId="2425979C" w:rsidR="00D66369" w:rsidRPr="009B39EC" w:rsidRDefault="007746AD" w:rsidP="00BA4110">
      <w:pPr>
        <w:jc w:val="center"/>
        <w:rPr>
          <w:rFonts w:ascii="Arial" w:hAnsi="Arial" w:cs="Arial"/>
          <w:b/>
          <w:sz w:val="24"/>
          <w:szCs w:val="24"/>
          <w:lang w:val="en-GB"/>
        </w:rPr>
      </w:pPr>
      <w:r w:rsidRPr="009B39EC">
        <w:rPr>
          <w:rFonts w:ascii="Arial" w:hAnsi="Arial" w:cs="Arial"/>
          <w:b/>
          <w:sz w:val="24"/>
          <w:szCs w:val="24"/>
          <w:lang w:val="en-GB"/>
        </w:rPr>
        <w:t xml:space="preserve">ADDRESSED TO ALBANIA </w:t>
      </w:r>
    </w:p>
    <w:p w14:paraId="119F662D" w14:textId="77777777" w:rsidR="009B39EC" w:rsidRDefault="00BA4110" w:rsidP="00BA4110">
      <w:pPr>
        <w:jc w:val="center"/>
        <w:rPr>
          <w:rFonts w:ascii="Arial" w:hAnsi="Arial" w:cs="Arial"/>
          <w:b/>
          <w:sz w:val="24"/>
          <w:szCs w:val="24"/>
          <w:lang w:val="en-GB"/>
        </w:rPr>
      </w:pPr>
      <w:r w:rsidRPr="009B39EC">
        <w:rPr>
          <w:rFonts w:ascii="Arial" w:hAnsi="Arial" w:cs="Arial"/>
          <w:b/>
          <w:sz w:val="24"/>
          <w:szCs w:val="24"/>
          <w:lang w:val="en-GB"/>
        </w:rPr>
        <w:t xml:space="preserve">BY THE COMMITTEE OF THE PARTIES </w:t>
      </w:r>
      <w:r w:rsidR="00D66369" w:rsidRPr="009B39EC">
        <w:rPr>
          <w:rFonts w:ascii="Arial" w:hAnsi="Arial" w:cs="Arial"/>
          <w:b/>
          <w:sz w:val="24"/>
          <w:szCs w:val="24"/>
          <w:lang w:val="en-GB"/>
        </w:rPr>
        <w:t xml:space="preserve">OF </w:t>
      </w:r>
    </w:p>
    <w:p w14:paraId="15E62065" w14:textId="73B0E53A" w:rsidR="00BA4110" w:rsidRPr="009B39EC" w:rsidRDefault="00BA4110" w:rsidP="00BA4110">
      <w:pPr>
        <w:jc w:val="center"/>
        <w:rPr>
          <w:rFonts w:ascii="Arial" w:hAnsi="Arial" w:cs="Arial"/>
          <w:b/>
          <w:sz w:val="24"/>
          <w:szCs w:val="24"/>
          <w:lang w:val="en-GB"/>
        </w:rPr>
      </w:pPr>
      <w:r w:rsidRPr="009B39EC">
        <w:rPr>
          <w:rFonts w:ascii="Arial" w:hAnsi="Arial" w:cs="Arial"/>
          <w:b/>
          <w:sz w:val="24"/>
          <w:szCs w:val="24"/>
          <w:lang w:val="en-GB"/>
        </w:rPr>
        <w:t xml:space="preserve">COUNCIL OF EUROPE CONVENTION ON PREVENTING AND COMBATTING VIOLENCE AGAINST WOMEN AND DOMESTIC VIOLENCE </w:t>
      </w:r>
    </w:p>
    <w:p w14:paraId="71277BD8" w14:textId="4C147C82" w:rsidR="00D66369" w:rsidRPr="009B39EC" w:rsidRDefault="00D66369" w:rsidP="00BA4110">
      <w:pPr>
        <w:jc w:val="center"/>
        <w:rPr>
          <w:rFonts w:ascii="Arial" w:hAnsi="Arial" w:cs="Arial"/>
          <w:b/>
          <w:sz w:val="24"/>
          <w:szCs w:val="24"/>
          <w:lang w:val="en-GB"/>
        </w:rPr>
      </w:pPr>
      <w:r w:rsidRPr="009B39EC">
        <w:rPr>
          <w:rFonts w:ascii="Arial" w:hAnsi="Arial" w:cs="Arial"/>
          <w:b/>
          <w:sz w:val="24"/>
          <w:szCs w:val="24"/>
          <w:lang w:val="en-GB"/>
        </w:rPr>
        <w:t>(ISTANBUL CONVENTION)</w:t>
      </w:r>
    </w:p>
    <w:p w14:paraId="53552250" w14:textId="02B2FB9A" w:rsidR="001175B3" w:rsidRPr="009B39EC" w:rsidRDefault="001175B3" w:rsidP="001175B3">
      <w:pPr>
        <w:jc w:val="center"/>
        <w:rPr>
          <w:rFonts w:ascii="Arial" w:hAnsi="Arial" w:cs="Arial"/>
          <w:b/>
          <w:sz w:val="20"/>
          <w:szCs w:val="20"/>
          <w:lang w:val="en-GB"/>
        </w:rPr>
      </w:pPr>
    </w:p>
    <w:p w14:paraId="041234CD" w14:textId="77777777" w:rsidR="001175B3" w:rsidRPr="009B39EC" w:rsidRDefault="001175B3" w:rsidP="001175B3">
      <w:pPr>
        <w:jc w:val="center"/>
        <w:rPr>
          <w:rFonts w:ascii="Arial" w:hAnsi="Arial" w:cs="Arial"/>
          <w:b/>
          <w:sz w:val="20"/>
          <w:szCs w:val="20"/>
          <w:lang w:val="en-GB"/>
        </w:rPr>
      </w:pPr>
    </w:p>
    <w:p w14:paraId="498058DD" w14:textId="77777777" w:rsidR="001175B3" w:rsidRPr="009B39EC" w:rsidRDefault="001175B3" w:rsidP="001175B3">
      <w:pPr>
        <w:jc w:val="center"/>
        <w:rPr>
          <w:rFonts w:ascii="Arial" w:hAnsi="Arial" w:cs="Arial"/>
          <w:b/>
          <w:sz w:val="20"/>
          <w:szCs w:val="20"/>
          <w:lang w:val="en-GB"/>
        </w:rPr>
      </w:pPr>
    </w:p>
    <w:p w14:paraId="5BDDFF8F" w14:textId="77777777" w:rsidR="001175B3" w:rsidRPr="009B39EC" w:rsidRDefault="001175B3" w:rsidP="001175B3">
      <w:pPr>
        <w:jc w:val="center"/>
        <w:rPr>
          <w:rFonts w:ascii="Arial" w:hAnsi="Arial" w:cs="Arial"/>
          <w:b/>
          <w:sz w:val="20"/>
          <w:szCs w:val="20"/>
          <w:lang w:val="en-GB"/>
        </w:rPr>
      </w:pPr>
    </w:p>
    <w:p w14:paraId="6EA1F2A7" w14:textId="30FDE2DC" w:rsidR="001175B3" w:rsidRPr="009B39EC" w:rsidRDefault="00BA4110" w:rsidP="001175B3">
      <w:pPr>
        <w:jc w:val="center"/>
        <w:rPr>
          <w:rFonts w:ascii="Arial" w:hAnsi="Arial" w:cs="Arial"/>
          <w:b/>
          <w:sz w:val="20"/>
          <w:szCs w:val="20"/>
          <w:lang w:val="en-GB"/>
        </w:rPr>
      </w:pPr>
      <w:r w:rsidRPr="009B39EC">
        <w:rPr>
          <w:rFonts w:ascii="Arial" w:hAnsi="Arial" w:cs="Arial"/>
          <w:b/>
          <w:sz w:val="20"/>
          <w:szCs w:val="20"/>
          <w:lang w:val="en-GB"/>
        </w:rPr>
        <w:t>June</w:t>
      </w:r>
      <w:r w:rsidR="001175B3" w:rsidRPr="009B39EC">
        <w:rPr>
          <w:rFonts w:ascii="Arial" w:hAnsi="Arial" w:cs="Arial"/>
          <w:b/>
          <w:sz w:val="20"/>
          <w:szCs w:val="20"/>
          <w:lang w:val="en-GB"/>
        </w:rPr>
        <w:t xml:space="preserve"> 2021</w:t>
      </w:r>
    </w:p>
    <w:p w14:paraId="0C57122A" w14:textId="77777777" w:rsidR="00450ACA" w:rsidRPr="009B39EC" w:rsidRDefault="00636220" w:rsidP="00636220">
      <w:pPr>
        <w:rPr>
          <w:rFonts w:ascii="Arial" w:hAnsi="Arial" w:cs="Arial"/>
          <w:color w:val="000000"/>
          <w:sz w:val="20"/>
          <w:szCs w:val="20"/>
          <w:lang w:val="en-GB"/>
        </w:rPr>
      </w:pPr>
      <w:r w:rsidRPr="009B39EC">
        <w:rPr>
          <w:rFonts w:ascii="Arial" w:hAnsi="Arial" w:cs="Arial"/>
          <w:sz w:val="20"/>
          <w:szCs w:val="20"/>
          <w:lang w:val="en-GB"/>
        </w:rPr>
        <w:br w:type="page"/>
      </w:r>
    </w:p>
    <w:sdt>
      <w:sdtPr>
        <w:rPr>
          <w:rFonts w:ascii="Arial" w:eastAsiaTheme="minorHAnsi" w:hAnsi="Arial" w:cs="Arial"/>
          <w:b w:val="0"/>
          <w:bCs w:val="0"/>
          <w:color w:val="auto"/>
          <w:sz w:val="20"/>
          <w:szCs w:val="20"/>
          <w:lang w:val="en-GB"/>
        </w:rPr>
        <w:id w:val="-1243867580"/>
        <w:docPartObj>
          <w:docPartGallery w:val="Table of Contents"/>
          <w:docPartUnique/>
        </w:docPartObj>
      </w:sdtPr>
      <w:sdtEndPr/>
      <w:sdtContent>
        <w:p w14:paraId="0360982C" w14:textId="2EF8BA18" w:rsidR="00450ACA" w:rsidRPr="009B39EC" w:rsidRDefault="0053505A" w:rsidP="0053505A">
          <w:pPr>
            <w:pStyle w:val="TOCHeading"/>
            <w:spacing w:before="0" w:line="240" w:lineRule="auto"/>
            <w:rPr>
              <w:rFonts w:ascii="Arial" w:hAnsi="Arial" w:cs="Arial"/>
              <w:sz w:val="20"/>
              <w:szCs w:val="20"/>
              <w:lang w:val="en-GB"/>
            </w:rPr>
          </w:pPr>
          <w:r w:rsidRPr="009B39EC">
            <w:rPr>
              <w:rFonts w:ascii="Arial" w:hAnsi="Arial" w:cs="Arial"/>
              <w:sz w:val="20"/>
              <w:szCs w:val="20"/>
              <w:lang w:val="en-GB"/>
            </w:rPr>
            <w:t>TAB</w:t>
          </w:r>
          <w:r w:rsidR="00BA4110" w:rsidRPr="009B39EC">
            <w:rPr>
              <w:rFonts w:ascii="Arial" w:hAnsi="Arial" w:cs="Arial"/>
              <w:sz w:val="20"/>
              <w:szCs w:val="20"/>
              <w:lang w:val="en-GB"/>
            </w:rPr>
            <w:t>LE OF CONTENTS</w:t>
          </w:r>
        </w:p>
        <w:p w14:paraId="5296FBB6" w14:textId="6DC1919D" w:rsidR="00E37180" w:rsidRPr="009B39EC" w:rsidRDefault="00450ACA">
          <w:pPr>
            <w:pStyle w:val="TOC1"/>
            <w:tabs>
              <w:tab w:val="right" w:leader="dot" w:pos="9074"/>
            </w:tabs>
            <w:rPr>
              <w:rFonts w:ascii="Arial" w:eastAsiaTheme="minorEastAsia" w:hAnsi="Arial" w:cs="Arial"/>
              <w:noProof/>
              <w:sz w:val="20"/>
              <w:szCs w:val="20"/>
              <w:lang w:val="en-GB" w:eastAsia="en-GB"/>
            </w:rPr>
          </w:pPr>
          <w:r w:rsidRPr="009B39EC">
            <w:rPr>
              <w:rFonts w:ascii="Arial" w:hAnsi="Arial" w:cs="Arial"/>
              <w:sz w:val="20"/>
              <w:szCs w:val="20"/>
              <w:lang w:val="en-GB"/>
            </w:rPr>
            <w:fldChar w:fldCharType="begin"/>
          </w:r>
          <w:r w:rsidRPr="009B39EC">
            <w:rPr>
              <w:rFonts w:ascii="Arial" w:hAnsi="Arial" w:cs="Arial"/>
              <w:sz w:val="20"/>
              <w:szCs w:val="20"/>
              <w:lang w:val="en-GB"/>
            </w:rPr>
            <w:instrText xml:space="preserve"> TOC \o "1-3" \h \z \u </w:instrText>
          </w:r>
          <w:r w:rsidRPr="009B39EC">
            <w:rPr>
              <w:rFonts w:ascii="Arial" w:hAnsi="Arial" w:cs="Arial"/>
              <w:sz w:val="20"/>
              <w:szCs w:val="20"/>
              <w:lang w:val="en-GB"/>
            </w:rPr>
            <w:fldChar w:fldCharType="separate"/>
          </w:r>
          <w:hyperlink w:anchor="_Toc75851655" w:history="1">
            <w:r w:rsidR="00E37180" w:rsidRPr="009B39EC">
              <w:rPr>
                <w:rStyle w:val="Hyperlink"/>
                <w:rFonts w:ascii="Arial" w:hAnsi="Arial" w:cs="Arial"/>
                <w:noProof/>
                <w:sz w:val="20"/>
                <w:szCs w:val="20"/>
                <w:lang w:val="en-GB"/>
              </w:rPr>
              <w:t>LIST OF ABBREVIATIONS</w:t>
            </w:r>
            <w:r w:rsidR="00E37180" w:rsidRPr="009B39EC">
              <w:rPr>
                <w:rFonts w:ascii="Arial" w:hAnsi="Arial" w:cs="Arial"/>
                <w:noProof/>
                <w:webHidden/>
                <w:sz w:val="20"/>
                <w:szCs w:val="20"/>
              </w:rPr>
              <w:tab/>
            </w:r>
            <w:r w:rsidR="00E37180" w:rsidRPr="009B39EC">
              <w:rPr>
                <w:rFonts w:ascii="Arial" w:hAnsi="Arial" w:cs="Arial"/>
                <w:noProof/>
                <w:webHidden/>
                <w:sz w:val="20"/>
                <w:szCs w:val="20"/>
              </w:rPr>
              <w:fldChar w:fldCharType="begin"/>
            </w:r>
            <w:r w:rsidR="00E37180" w:rsidRPr="009B39EC">
              <w:rPr>
                <w:rFonts w:ascii="Arial" w:hAnsi="Arial" w:cs="Arial"/>
                <w:noProof/>
                <w:webHidden/>
                <w:sz w:val="20"/>
                <w:szCs w:val="20"/>
              </w:rPr>
              <w:instrText xml:space="preserve"> PAGEREF _Toc75851655 \h </w:instrText>
            </w:r>
            <w:r w:rsidR="00E37180" w:rsidRPr="009B39EC">
              <w:rPr>
                <w:rFonts w:ascii="Arial" w:hAnsi="Arial" w:cs="Arial"/>
                <w:noProof/>
                <w:webHidden/>
                <w:sz w:val="20"/>
                <w:szCs w:val="20"/>
              </w:rPr>
            </w:r>
            <w:r w:rsidR="00E37180" w:rsidRPr="009B39EC">
              <w:rPr>
                <w:rFonts w:ascii="Arial" w:hAnsi="Arial" w:cs="Arial"/>
                <w:noProof/>
                <w:webHidden/>
                <w:sz w:val="20"/>
                <w:szCs w:val="20"/>
              </w:rPr>
              <w:fldChar w:fldCharType="separate"/>
            </w:r>
            <w:r w:rsidR="00105425">
              <w:rPr>
                <w:rFonts w:ascii="Arial" w:hAnsi="Arial" w:cs="Arial"/>
                <w:noProof/>
                <w:webHidden/>
                <w:sz w:val="20"/>
                <w:szCs w:val="20"/>
              </w:rPr>
              <w:t>3</w:t>
            </w:r>
            <w:r w:rsidR="00E37180" w:rsidRPr="009B39EC">
              <w:rPr>
                <w:rFonts w:ascii="Arial" w:hAnsi="Arial" w:cs="Arial"/>
                <w:noProof/>
                <w:webHidden/>
                <w:sz w:val="20"/>
                <w:szCs w:val="20"/>
              </w:rPr>
              <w:fldChar w:fldCharType="end"/>
            </w:r>
          </w:hyperlink>
        </w:p>
        <w:p w14:paraId="054356AD" w14:textId="04D27511" w:rsidR="00E37180" w:rsidRPr="009B39EC" w:rsidRDefault="008F66B3">
          <w:pPr>
            <w:pStyle w:val="TOC1"/>
            <w:tabs>
              <w:tab w:val="left" w:pos="480"/>
              <w:tab w:val="right" w:leader="dot" w:pos="9074"/>
            </w:tabs>
            <w:rPr>
              <w:rFonts w:ascii="Arial" w:eastAsiaTheme="minorEastAsia" w:hAnsi="Arial" w:cs="Arial"/>
              <w:noProof/>
              <w:sz w:val="20"/>
              <w:szCs w:val="20"/>
              <w:lang w:val="en-GB" w:eastAsia="en-GB"/>
            </w:rPr>
          </w:pPr>
          <w:hyperlink w:anchor="_Toc75851656" w:history="1">
            <w:r w:rsidR="00E37180" w:rsidRPr="009B39EC">
              <w:rPr>
                <w:rStyle w:val="Hyperlink"/>
                <w:rFonts w:ascii="Arial" w:hAnsi="Arial" w:cs="Arial"/>
                <w:noProof/>
                <w:sz w:val="20"/>
                <w:szCs w:val="20"/>
                <w:lang w:val="en-GB"/>
              </w:rPr>
              <w:t>I.</w:t>
            </w:r>
            <w:r w:rsidR="00E37180" w:rsidRPr="009B39EC">
              <w:rPr>
                <w:rFonts w:ascii="Arial" w:eastAsiaTheme="minorEastAsia" w:hAnsi="Arial" w:cs="Arial"/>
                <w:noProof/>
                <w:sz w:val="20"/>
                <w:szCs w:val="20"/>
                <w:lang w:val="en-GB" w:eastAsia="en-GB"/>
              </w:rPr>
              <w:tab/>
            </w:r>
            <w:r w:rsidR="00E37180" w:rsidRPr="009B39EC">
              <w:rPr>
                <w:rStyle w:val="Hyperlink"/>
                <w:rFonts w:ascii="Arial" w:hAnsi="Arial" w:cs="Arial"/>
                <w:noProof/>
                <w:sz w:val="20"/>
                <w:szCs w:val="20"/>
                <w:lang w:val="en-GB"/>
              </w:rPr>
              <w:t>INTRODUCTION</w:t>
            </w:r>
            <w:r w:rsidR="00E37180" w:rsidRPr="009B39EC">
              <w:rPr>
                <w:rFonts w:ascii="Arial" w:hAnsi="Arial" w:cs="Arial"/>
                <w:noProof/>
                <w:webHidden/>
                <w:sz w:val="20"/>
                <w:szCs w:val="20"/>
              </w:rPr>
              <w:tab/>
            </w:r>
            <w:r w:rsidR="00E37180" w:rsidRPr="009B39EC">
              <w:rPr>
                <w:rFonts w:ascii="Arial" w:hAnsi="Arial" w:cs="Arial"/>
                <w:noProof/>
                <w:webHidden/>
                <w:sz w:val="20"/>
                <w:szCs w:val="20"/>
              </w:rPr>
              <w:fldChar w:fldCharType="begin"/>
            </w:r>
            <w:r w:rsidR="00E37180" w:rsidRPr="009B39EC">
              <w:rPr>
                <w:rFonts w:ascii="Arial" w:hAnsi="Arial" w:cs="Arial"/>
                <w:noProof/>
                <w:webHidden/>
                <w:sz w:val="20"/>
                <w:szCs w:val="20"/>
              </w:rPr>
              <w:instrText xml:space="preserve"> PAGEREF _Toc75851656 \h </w:instrText>
            </w:r>
            <w:r w:rsidR="00E37180" w:rsidRPr="009B39EC">
              <w:rPr>
                <w:rFonts w:ascii="Arial" w:hAnsi="Arial" w:cs="Arial"/>
                <w:noProof/>
                <w:webHidden/>
                <w:sz w:val="20"/>
                <w:szCs w:val="20"/>
              </w:rPr>
            </w:r>
            <w:r w:rsidR="00E37180" w:rsidRPr="009B39EC">
              <w:rPr>
                <w:rFonts w:ascii="Arial" w:hAnsi="Arial" w:cs="Arial"/>
                <w:noProof/>
                <w:webHidden/>
                <w:sz w:val="20"/>
                <w:szCs w:val="20"/>
              </w:rPr>
              <w:fldChar w:fldCharType="separate"/>
            </w:r>
            <w:r w:rsidR="00105425">
              <w:rPr>
                <w:rFonts w:ascii="Arial" w:hAnsi="Arial" w:cs="Arial"/>
                <w:noProof/>
                <w:webHidden/>
                <w:sz w:val="20"/>
                <w:szCs w:val="20"/>
              </w:rPr>
              <w:t>4</w:t>
            </w:r>
            <w:r w:rsidR="00E37180" w:rsidRPr="009B39EC">
              <w:rPr>
                <w:rFonts w:ascii="Arial" w:hAnsi="Arial" w:cs="Arial"/>
                <w:noProof/>
                <w:webHidden/>
                <w:sz w:val="20"/>
                <w:szCs w:val="20"/>
              </w:rPr>
              <w:fldChar w:fldCharType="end"/>
            </w:r>
          </w:hyperlink>
        </w:p>
        <w:p w14:paraId="0360F15C" w14:textId="71DF4728" w:rsidR="00E37180" w:rsidRPr="009B39EC" w:rsidRDefault="008F66B3">
          <w:pPr>
            <w:pStyle w:val="TOC1"/>
            <w:tabs>
              <w:tab w:val="left" w:pos="480"/>
              <w:tab w:val="right" w:leader="dot" w:pos="9074"/>
            </w:tabs>
            <w:rPr>
              <w:rFonts w:ascii="Arial" w:eastAsiaTheme="minorEastAsia" w:hAnsi="Arial" w:cs="Arial"/>
              <w:noProof/>
              <w:sz w:val="20"/>
              <w:szCs w:val="20"/>
              <w:lang w:val="en-GB" w:eastAsia="en-GB"/>
            </w:rPr>
          </w:pPr>
          <w:hyperlink w:anchor="_Toc75851657" w:history="1">
            <w:r w:rsidR="00E37180" w:rsidRPr="009B39EC">
              <w:rPr>
                <w:rStyle w:val="Hyperlink"/>
                <w:rFonts w:ascii="Arial" w:hAnsi="Arial" w:cs="Arial"/>
                <w:noProof/>
                <w:sz w:val="20"/>
                <w:szCs w:val="20"/>
                <w:lang w:val="en-GB" w:eastAsia="en-GB"/>
                <w14:textOutline w14:w="0" w14:cap="flat" w14:cmpd="sng" w14:algn="ctr">
                  <w14:noFill/>
                  <w14:prstDash w14:val="solid"/>
                  <w14:bevel/>
                </w14:textOutline>
              </w:rPr>
              <w:t>II.</w:t>
            </w:r>
            <w:r w:rsidR="00E37180" w:rsidRPr="009B39EC">
              <w:rPr>
                <w:rFonts w:ascii="Arial" w:eastAsiaTheme="minorEastAsia" w:hAnsi="Arial" w:cs="Arial"/>
                <w:noProof/>
                <w:sz w:val="20"/>
                <w:szCs w:val="20"/>
                <w:lang w:val="en-GB" w:eastAsia="en-GB"/>
              </w:rPr>
              <w:tab/>
            </w:r>
            <w:r w:rsidR="00E37180" w:rsidRPr="009B39EC">
              <w:rPr>
                <w:rStyle w:val="Hyperlink"/>
                <w:rFonts w:ascii="Arial" w:hAnsi="Arial" w:cs="Arial"/>
                <w:noProof/>
                <w:sz w:val="20"/>
                <w:szCs w:val="20"/>
                <w:lang w:val="en-GB" w:eastAsia="en-GB"/>
                <w14:textOutline w14:w="0" w14:cap="flat" w14:cmpd="sng" w14:algn="ctr">
                  <w14:noFill/>
                  <w14:prstDash w14:val="solid"/>
                  <w14:bevel/>
                </w14:textOutline>
              </w:rPr>
              <w:t>REPORTING PURSUANT THE STANDARD TEMPLATE PROVIDED BY THE COMMITTEE OF THE PARTIES TO THE CONVENTION</w:t>
            </w:r>
            <w:r w:rsidR="00E37180" w:rsidRPr="009B39EC">
              <w:rPr>
                <w:rFonts w:ascii="Arial" w:hAnsi="Arial" w:cs="Arial"/>
                <w:noProof/>
                <w:webHidden/>
                <w:sz w:val="20"/>
                <w:szCs w:val="20"/>
              </w:rPr>
              <w:tab/>
            </w:r>
            <w:r w:rsidR="00E37180" w:rsidRPr="009B39EC">
              <w:rPr>
                <w:rFonts w:ascii="Arial" w:hAnsi="Arial" w:cs="Arial"/>
                <w:noProof/>
                <w:webHidden/>
                <w:sz w:val="20"/>
                <w:szCs w:val="20"/>
              </w:rPr>
              <w:fldChar w:fldCharType="begin"/>
            </w:r>
            <w:r w:rsidR="00E37180" w:rsidRPr="009B39EC">
              <w:rPr>
                <w:rFonts w:ascii="Arial" w:hAnsi="Arial" w:cs="Arial"/>
                <w:noProof/>
                <w:webHidden/>
                <w:sz w:val="20"/>
                <w:szCs w:val="20"/>
              </w:rPr>
              <w:instrText xml:space="preserve"> PAGEREF _Toc75851657 \h </w:instrText>
            </w:r>
            <w:r w:rsidR="00E37180" w:rsidRPr="009B39EC">
              <w:rPr>
                <w:rFonts w:ascii="Arial" w:hAnsi="Arial" w:cs="Arial"/>
                <w:noProof/>
                <w:webHidden/>
                <w:sz w:val="20"/>
                <w:szCs w:val="20"/>
              </w:rPr>
            </w:r>
            <w:r w:rsidR="00E37180" w:rsidRPr="009B39EC">
              <w:rPr>
                <w:rFonts w:ascii="Arial" w:hAnsi="Arial" w:cs="Arial"/>
                <w:noProof/>
                <w:webHidden/>
                <w:sz w:val="20"/>
                <w:szCs w:val="20"/>
              </w:rPr>
              <w:fldChar w:fldCharType="separate"/>
            </w:r>
            <w:r w:rsidR="00105425">
              <w:rPr>
                <w:rFonts w:ascii="Arial" w:hAnsi="Arial" w:cs="Arial"/>
                <w:noProof/>
                <w:webHidden/>
                <w:sz w:val="20"/>
                <w:szCs w:val="20"/>
              </w:rPr>
              <w:t>6</w:t>
            </w:r>
            <w:r w:rsidR="00E37180" w:rsidRPr="009B39EC">
              <w:rPr>
                <w:rFonts w:ascii="Arial" w:hAnsi="Arial" w:cs="Arial"/>
                <w:noProof/>
                <w:webHidden/>
                <w:sz w:val="20"/>
                <w:szCs w:val="20"/>
              </w:rPr>
              <w:fldChar w:fldCharType="end"/>
            </w:r>
          </w:hyperlink>
        </w:p>
        <w:p w14:paraId="391806FA" w14:textId="2F72ACF5" w:rsidR="00E37180" w:rsidRPr="009B39EC" w:rsidRDefault="008F66B3">
          <w:pPr>
            <w:pStyle w:val="TOC2"/>
            <w:rPr>
              <w:rFonts w:ascii="Arial" w:eastAsiaTheme="minorEastAsia" w:hAnsi="Arial" w:cs="Arial"/>
              <w:b w:val="0"/>
              <w:sz w:val="20"/>
              <w:szCs w:val="20"/>
              <w:lang w:val="en-GB" w:eastAsia="en-GB"/>
            </w:rPr>
          </w:pPr>
          <w:hyperlink w:anchor="_Toc75851658" w:history="1">
            <w:r w:rsidR="00E37180" w:rsidRPr="009B39EC">
              <w:rPr>
                <w:rStyle w:val="Hyperlink"/>
                <w:rFonts w:ascii="Arial" w:hAnsi="Arial" w:cs="Arial"/>
                <w:b w:val="0"/>
                <w:sz w:val="20"/>
                <w:szCs w:val="20"/>
                <w:lang w:val="en-GB"/>
              </w:rPr>
              <w:t>ANNEX 1. SUMMARY OF MEASURES IMPLEMENTED TO ADDRESS RECOMMENDATIONS FOR URGENT ACTION:</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_Toc75851658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31</w:t>
            </w:r>
            <w:r w:rsidR="00E37180" w:rsidRPr="009B39EC">
              <w:rPr>
                <w:rFonts w:ascii="Arial" w:hAnsi="Arial" w:cs="Arial"/>
                <w:b w:val="0"/>
                <w:webHidden/>
                <w:sz w:val="20"/>
                <w:szCs w:val="20"/>
              </w:rPr>
              <w:fldChar w:fldCharType="end"/>
            </w:r>
          </w:hyperlink>
        </w:p>
        <w:p w14:paraId="69D07345" w14:textId="6A8B07E5" w:rsidR="00E37180" w:rsidRPr="009B39EC" w:rsidRDefault="008F66B3">
          <w:pPr>
            <w:pStyle w:val="TOC2"/>
            <w:rPr>
              <w:rFonts w:ascii="Arial" w:eastAsiaTheme="minorEastAsia" w:hAnsi="Arial" w:cs="Arial"/>
              <w:b w:val="0"/>
              <w:sz w:val="20"/>
              <w:szCs w:val="20"/>
              <w:lang w:val="en-GB" w:eastAsia="en-GB"/>
            </w:rPr>
          </w:pPr>
          <w:hyperlink w:anchor="_Toc75851659" w:history="1">
            <w:r w:rsidR="00E37180" w:rsidRPr="009B39EC">
              <w:rPr>
                <w:rStyle w:val="Hyperlink"/>
                <w:rFonts w:ascii="Arial" w:hAnsi="Arial" w:cs="Arial"/>
                <w:b w:val="0"/>
                <w:sz w:val="20"/>
                <w:szCs w:val="20"/>
                <w:lang w:val="en-GB"/>
              </w:rPr>
              <w:t>ANNEX 2. FINDINGS FROM THE IMPLEMENTATION OF STRATEGIC GOALS 3 AND 4 OF THE 2016-2020 NSGE</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_Toc75851659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33</w:t>
            </w:r>
            <w:r w:rsidR="00E37180" w:rsidRPr="009B39EC">
              <w:rPr>
                <w:rFonts w:ascii="Arial" w:hAnsi="Arial" w:cs="Arial"/>
                <w:b w:val="0"/>
                <w:webHidden/>
                <w:sz w:val="20"/>
                <w:szCs w:val="20"/>
              </w:rPr>
              <w:fldChar w:fldCharType="end"/>
            </w:r>
          </w:hyperlink>
        </w:p>
        <w:p w14:paraId="7CE2FEB8" w14:textId="77153F62" w:rsidR="00E37180" w:rsidRPr="009B39EC" w:rsidRDefault="008F66B3">
          <w:pPr>
            <w:pStyle w:val="TOC2"/>
            <w:rPr>
              <w:rFonts w:ascii="Arial" w:eastAsiaTheme="minorEastAsia" w:hAnsi="Arial" w:cs="Arial"/>
              <w:b w:val="0"/>
              <w:sz w:val="20"/>
              <w:szCs w:val="20"/>
              <w:lang w:val="en-GB" w:eastAsia="en-GB"/>
            </w:rPr>
          </w:pPr>
          <w:hyperlink w:anchor="_Toc75851660" w:history="1">
            <w:r w:rsidR="00E37180" w:rsidRPr="009B39EC">
              <w:rPr>
                <w:rStyle w:val="Hyperlink"/>
                <w:rFonts w:ascii="Arial" w:hAnsi="Arial" w:cs="Arial"/>
                <w:b w:val="0"/>
                <w:sz w:val="20"/>
                <w:szCs w:val="20"/>
                <w:lang w:val="en-GB"/>
              </w:rPr>
              <w:t>ANNEX 3: DATA FROM MUNICIPALITIES WHOSE PROJECTS ADDRESSING VIOLENCE AGAINST WOMEN AND DOMESTIC VIOLENCE WERE SUPPORTED BY THE SOCIAL FUND IN THE COURSE OF 2021</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_Toc75851660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38</w:t>
            </w:r>
            <w:r w:rsidR="00E37180" w:rsidRPr="009B39EC">
              <w:rPr>
                <w:rFonts w:ascii="Arial" w:hAnsi="Arial" w:cs="Arial"/>
                <w:b w:val="0"/>
                <w:webHidden/>
                <w:sz w:val="20"/>
                <w:szCs w:val="20"/>
              </w:rPr>
              <w:fldChar w:fldCharType="end"/>
            </w:r>
          </w:hyperlink>
        </w:p>
        <w:p w14:paraId="2B52E530" w14:textId="5ED537D6" w:rsidR="00E37180" w:rsidRPr="009B39EC" w:rsidRDefault="008F66B3">
          <w:pPr>
            <w:pStyle w:val="TOC2"/>
            <w:rPr>
              <w:rFonts w:ascii="Arial" w:eastAsiaTheme="minorEastAsia" w:hAnsi="Arial" w:cs="Arial"/>
              <w:b w:val="0"/>
              <w:sz w:val="20"/>
              <w:szCs w:val="20"/>
              <w:lang w:val="en-GB" w:eastAsia="en-GB"/>
            </w:rPr>
          </w:pPr>
          <w:hyperlink w:anchor="_Toc75851661" w:history="1">
            <w:r w:rsidR="00E37180" w:rsidRPr="009B39EC">
              <w:rPr>
                <w:rStyle w:val="Hyperlink"/>
                <w:rFonts w:ascii="Arial" w:hAnsi="Arial" w:cs="Arial"/>
                <w:b w:val="0"/>
                <w:sz w:val="20"/>
                <w:szCs w:val="20"/>
                <w:lang w:val="en-GB"/>
              </w:rPr>
              <w:t>ANNEX 4: IMPLEMENTATION OF GENDER RESPONSIVE BUDGETING OVER THE YEARS</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_Toc75851661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38</w:t>
            </w:r>
            <w:r w:rsidR="00E37180" w:rsidRPr="009B39EC">
              <w:rPr>
                <w:rFonts w:ascii="Arial" w:hAnsi="Arial" w:cs="Arial"/>
                <w:b w:val="0"/>
                <w:webHidden/>
                <w:sz w:val="20"/>
                <w:szCs w:val="20"/>
              </w:rPr>
              <w:fldChar w:fldCharType="end"/>
            </w:r>
          </w:hyperlink>
        </w:p>
        <w:p w14:paraId="262F1E28" w14:textId="11B06348" w:rsidR="00E37180" w:rsidRPr="009B39EC" w:rsidRDefault="008F66B3">
          <w:pPr>
            <w:pStyle w:val="TOC2"/>
            <w:rPr>
              <w:rFonts w:ascii="Arial" w:eastAsiaTheme="minorEastAsia" w:hAnsi="Arial" w:cs="Arial"/>
              <w:b w:val="0"/>
              <w:sz w:val="20"/>
              <w:szCs w:val="20"/>
              <w:lang w:val="en-GB" w:eastAsia="en-GB"/>
            </w:rPr>
          </w:pPr>
          <w:hyperlink w:anchor="_Toc75851662" w:history="1">
            <w:r w:rsidR="00E37180" w:rsidRPr="009B39EC">
              <w:rPr>
                <w:rStyle w:val="Hyperlink"/>
                <w:rFonts w:ascii="Arial" w:hAnsi="Arial" w:cs="Arial"/>
                <w:b w:val="0"/>
                <w:sz w:val="20"/>
                <w:szCs w:val="20"/>
                <w:lang w:val="en-GB"/>
              </w:rPr>
              <w:t>ANNEX 5: DOMESTIC VIOLENCE DATA PROVIDED BY INSTAT</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_Toc75851662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39</w:t>
            </w:r>
            <w:r w:rsidR="00E37180" w:rsidRPr="009B39EC">
              <w:rPr>
                <w:rFonts w:ascii="Arial" w:hAnsi="Arial" w:cs="Arial"/>
                <w:b w:val="0"/>
                <w:webHidden/>
                <w:sz w:val="20"/>
                <w:szCs w:val="20"/>
              </w:rPr>
              <w:fldChar w:fldCharType="end"/>
            </w:r>
          </w:hyperlink>
        </w:p>
        <w:p w14:paraId="78A4B573" w14:textId="3735010E" w:rsidR="00E37180" w:rsidRPr="009B39EC" w:rsidRDefault="008F66B3">
          <w:pPr>
            <w:pStyle w:val="TOC2"/>
            <w:rPr>
              <w:rFonts w:ascii="Arial" w:eastAsiaTheme="minorEastAsia" w:hAnsi="Arial" w:cs="Arial"/>
              <w:b w:val="0"/>
              <w:sz w:val="20"/>
              <w:szCs w:val="20"/>
              <w:lang w:val="en-GB" w:eastAsia="en-GB"/>
            </w:rPr>
          </w:pPr>
          <w:hyperlink w:anchor="_Toc75851663" w:history="1">
            <w:r w:rsidR="00E37180" w:rsidRPr="009B39EC">
              <w:rPr>
                <w:rStyle w:val="Hyperlink"/>
                <w:rFonts w:ascii="Arial" w:hAnsi="Arial" w:cs="Arial"/>
                <w:b w:val="0"/>
                <w:sz w:val="20"/>
                <w:szCs w:val="20"/>
                <w:lang w:val="en-GB"/>
              </w:rPr>
              <w:t>ANNEX 6: DATA GENERATED FROM THE REVALB SYSTEM</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_Toc75851663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39</w:t>
            </w:r>
            <w:r w:rsidR="00E37180" w:rsidRPr="009B39EC">
              <w:rPr>
                <w:rFonts w:ascii="Arial" w:hAnsi="Arial" w:cs="Arial"/>
                <w:b w:val="0"/>
                <w:webHidden/>
                <w:sz w:val="20"/>
                <w:szCs w:val="20"/>
              </w:rPr>
              <w:fldChar w:fldCharType="end"/>
            </w:r>
          </w:hyperlink>
        </w:p>
        <w:p w14:paraId="61D20392" w14:textId="268B8CD3" w:rsidR="00E37180" w:rsidRPr="009B39EC" w:rsidRDefault="008F66B3">
          <w:pPr>
            <w:pStyle w:val="TOC2"/>
            <w:rPr>
              <w:rFonts w:ascii="Arial" w:eastAsiaTheme="minorEastAsia" w:hAnsi="Arial" w:cs="Arial"/>
              <w:b w:val="0"/>
              <w:sz w:val="20"/>
              <w:szCs w:val="20"/>
              <w:lang w:val="en-GB" w:eastAsia="en-GB"/>
            </w:rPr>
          </w:pPr>
          <w:hyperlink w:anchor="_Toc75851664" w:history="1">
            <w:r w:rsidR="00E37180" w:rsidRPr="009B39EC">
              <w:rPr>
                <w:rStyle w:val="Hyperlink"/>
                <w:rFonts w:ascii="Arial" w:hAnsi="Arial" w:cs="Arial"/>
                <w:b w:val="0"/>
                <w:sz w:val="20"/>
                <w:szCs w:val="20"/>
                <w:lang w:val="en-GB"/>
              </w:rPr>
              <w:t>ANNEX 7. TRAINING MODULES OFFERED BY THE ALBANIAN SCHOOL OF PUBLIC ADMINISTRATION (ASPA)</w:t>
            </w:r>
            <w:r w:rsidR="00E37180" w:rsidRPr="009B39EC">
              <w:rPr>
                <w:rFonts w:ascii="Arial" w:hAnsi="Arial" w:cs="Arial"/>
                <w:b w:val="0"/>
                <w:webHidden/>
                <w:sz w:val="20"/>
                <w:szCs w:val="20"/>
              </w:rPr>
              <w:tab/>
            </w:r>
            <w:r w:rsidR="00E37180" w:rsidRPr="009B39EC">
              <w:rPr>
                <w:rFonts w:ascii="Arial" w:hAnsi="Arial" w:cs="Arial"/>
                <w:b w:val="0"/>
                <w:webHidden/>
                <w:sz w:val="20"/>
                <w:szCs w:val="20"/>
              </w:rPr>
              <w:fldChar w:fldCharType="begin"/>
            </w:r>
            <w:r w:rsidR="00E37180" w:rsidRPr="009B39EC">
              <w:rPr>
                <w:rFonts w:ascii="Arial" w:hAnsi="Arial" w:cs="Arial"/>
                <w:b w:val="0"/>
                <w:webHidden/>
                <w:sz w:val="20"/>
                <w:szCs w:val="20"/>
              </w:rPr>
              <w:instrText xml:space="preserve"> PAGEREF _Toc75851664 \h </w:instrText>
            </w:r>
            <w:r w:rsidR="00E37180" w:rsidRPr="009B39EC">
              <w:rPr>
                <w:rFonts w:ascii="Arial" w:hAnsi="Arial" w:cs="Arial"/>
                <w:b w:val="0"/>
                <w:webHidden/>
                <w:sz w:val="20"/>
                <w:szCs w:val="20"/>
              </w:rPr>
            </w:r>
            <w:r w:rsidR="00E37180" w:rsidRPr="009B39EC">
              <w:rPr>
                <w:rFonts w:ascii="Arial" w:hAnsi="Arial" w:cs="Arial"/>
                <w:b w:val="0"/>
                <w:webHidden/>
                <w:sz w:val="20"/>
                <w:szCs w:val="20"/>
              </w:rPr>
              <w:fldChar w:fldCharType="separate"/>
            </w:r>
            <w:r w:rsidR="00105425">
              <w:rPr>
                <w:rFonts w:ascii="Arial" w:hAnsi="Arial" w:cs="Arial"/>
                <w:b w:val="0"/>
                <w:webHidden/>
                <w:sz w:val="20"/>
                <w:szCs w:val="20"/>
              </w:rPr>
              <w:t>40</w:t>
            </w:r>
            <w:r w:rsidR="00E37180" w:rsidRPr="009B39EC">
              <w:rPr>
                <w:rFonts w:ascii="Arial" w:hAnsi="Arial" w:cs="Arial"/>
                <w:b w:val="0"/>
                <w:webHidden/>
                <w:sz w:val="20"/>
                <w:szCs w:val="20"/>
              </w:rPr>
              <w:fldChar w:fldCharType="end"/>
            </w:r>
          </w:hyperlink>
        </w:p>
        <w:p w14:paraId="2BBA8B54" w14:textId="172A7353" w:rsidR="00450ACA" w:rsidRPr="009B39EC" w:rsidRDefault="00450ACA" w:rsidP="0053505A">
          <w:pPr>
            <w:spacing w:after="0" w:line="240" w:lineRule="auto"/>
            <w:rPr>
              <w:rFonts w:ascii="Arial" w:hAnsi="Arial" w:cs="Arial"/>
              <w:sz w:val="20"/>
              <w:szCs w:val="20"/>
              <w:lang w:val="en-GB"/>
            </w:rPr>
          </w:pPr>
          <w:r w:rsidRPr="009B39EC">
            <w:rPr>
              <w:rFonts w:ascii="Arial" w:hAnsi="Arial" w:cs="Arial"/>
              <w:b/>
              <w:bCs/>
              <w:sz w:val="20"/>
              <w:szCs w:val="20"/>
              <w:lang w:val="en-GB"/>
            </w:rPr>
            <w:fldChar w:fldCharType="end"/>
          </w:r>
        </w:p>
      </w:sdtContent>
    </w:sdt>
    <w:p w14:paraId="721B0548" w14:textId="48DFD4B3" w:rsidR="00636220" w:rsidRPr="009B39EC" w:rsidRDefault="00636220" w:rsidP="00636220">
      <w:pPr>
        <w:rPr>
          <w:rFonts w:ascii="Arial" w:hAnsi="Arial" w:cs="Arial"/>
          <w:color w:val="000000"/>
          <w:sz w:val="20"/>
          <w:szCs w:val="20"/>
          <w:lang w:val="en-GB"/>
        </w:rPr>
      </w:pPr>
    </w:p>
    <w:p w14:paraId="4DEFAE51" w14:textId="7B610668" w:rsidR="00071A1F" w:rsidRPr="009B39EC" w:rsidRDefault="004C6520" w:rsidP="004C6520">
      <w:pPr>
        <w:tabs>
          <w:tab w:val="left" w:pos="2410"/>
        </w:tabs>
        <w:rPr>
          <w:rFonts w:ascii="Arial" w:hAnsi="Arial" w:cs="Arial"/>
          <w:color w:val="000000"/>
          <w:sz w:val="20"/>
          <w:szCs w:val="20"/>
          <w:lang w:val="en-GB"/>
        </w:rPr>
      </w:pPr>
      <w:r w:rsidRPr="009B39EC">
        <w:rPr>
          <w:rFonts w:ascii="Arial" w:hAnsi="Arial" w:cs="Arial"/>
          <w:color w:val="000000"/>
          <w:sz w:val="20"/>
          <w:szCs w:val="20"/>
          <w:lang w:val="en-GB"/>
        </w:rPr>
        <w:tab/>
      </w:r>
    </w:p>
    <w:p w14:paraId="22E240E6" w14:textId="6FBB4199" w:rsidR="00071A1F" w:rsidRPr="009B39EC" w:rsidRDefault="00071A1F" w:rsidP="00636220">
      <w:pPr>
        <w:rPr>
          <w:rFonts w:ascii="Arial" w:hAnsi="Arial" w:cs="Arial"/>
          <w:color w:val="000000"/>
          <w:sz w:val="20"/>
          <w:szCs w:val="20"/>
          <w:lang w:val="en-GB"/>
        </w:rPr>
      </w:pPr>
    </w:p>
    <w:p w14:paraId="7DD078DF" w14:textId="731BF8EF" w:rsidR="00071A1F" w:rsidRPr="009B39EC" w:rsidRDefault="00071A1F" w:rsidP="00636220">
      <w:pPr>
        <w:rPr>
          <w:rFonts w:ascii="Arial" w:hAnsi="Arial" w:cs="Arial"/>
          <w:color w:val="000000"/>
          <w:sz w:val="20"/>
          <w:szCs w:val="20"/>
          <w:lang w:val="en-GB"/>
        </w:rPr>
      </w:pPr>
    </w:p>
    <w:p w14:paraId="1329D480" w14:textId="3F69D312" w:rsidR="00071A1F" w:rsidRPr="009B39EC" w:rsidRDefault="00071A1F" w:rsidP="00636220">
      <w:pPr>
        <w:rPr>
          <w:rFonts w:ascii="Arial" w:hAnsi="Arial" w:cs="Arial"/>
          <w:color w:val="000000"/>
          <w:sz w:val="20"/>
          <w:szCs w:val="20"/>
          <w:lang w:val="en-GB"/>
        </w:rPr>
      </w:pPr>
    </w:p>
    <w:p w14:paraId="59D32B82" w14:textId="22171F35" w:rsidR="00071A1F" w:rsidRPr="009B39EC" w:rsidRDefault="00071A1F" w:rsidP="00636220">
      <w:pPr>
        <w:rPr>
          <w:rFonts w:ascii="Arial" w:hAnsi="Arial" w:cs="Arial"/>
          <w:color w:val="000000"/>
          <w:sz w:val="20"/>
          <w:szCs w:val="20"/>
          <w:lang w:val="en-GB"/>
        </w:rPr>
      </w:pPr>
    </w:p>
    <w:p w14:paraId="6C14F224" w14:textId="55334662" w:rsidR="00071A1F" w:rsidRPr="009B39EC" w:rsidRDefault="00071A1F" w:rsidP="00636220">
      <w:pPr>
        <w:rPr>
          <w:rFonts w:ascii="Arial" w:hAnsi="Arial" w:cs="Arial"/>
          <w:color w:val="000000"/>
          <w:sz w:val="20"/>
          <w:szCs w:val="20"/>
          <w:lang w:val="en-GB"/>
        </w:rPr>
      </w:pPr>
    </w:p>
    <w:p w14:paraId="2B1FF56B" w14:textId="0C33E356" w:rsidR="00071A1F" w:rsidRPr="009B39EC" w:rsidRDefault="00071A1F" w:rsidP="00636220">
      <w:pPr>
        <w:rPr>
          <w:rFonts w:ascii="Arial" w:hAnsi="Arial" w:cs="Arial"/>
          <w:color w:val="000000"/>
          <w:sz w:val="20"/>
          <w:szCs w:val="20"/>
          <w:lang w:val="en-GB"/>
        </w:rPr>
      </w:pPr>
    </w:p>
    <w:p w14:paraId="3DA51210" w14:textId="2B106BF5" w:rsidR="00071A1F" w:rsidRPr="009B39EC" w:rsidRDefault="00071A1F" w:rsidP="00636220">
      <w:pPr>
        <w:rPr>
          <w:rFonts w:ascii="Arial" w:hAnsi="Arial" w:cs="Arial"/>
          <w:color w:val="000000"/>
          <w:sz w:val="20"/>
          <w:szCs w:val="20"/>
          <w:lang w:val="en-GB"/>
        </w:rPr>
      </w:pPr>
    </w:p>
    <w:p w14:paraId="300A60C9" w14:textId="25DF3211" w:rsidR="00071A1F" w:rsidRPr="009B39EC" w:rsidRDefault="00071A1F" w:rsidP="00636220">
      <w:pPr>
        <w:rPr>
          <w:rFonts w:ascii="Arial" w:hAnsi="Arial" w:cs="Arial"/>
          <w:color w:val="000000"/>
          <w:sz w:val="20"/>
          <w:szCs w:val="20"/>
          <w:lang w:val="en-GB"/>
        </w:rPr>
      </w:pPr>
    </w:p>
    <w:p w14:paraId="7E906CDF" w14:textId="18031C74" w:rsidR="00071A1F" w:rsidRPr="009B39EC" w:rsidRDefault="00071A1F" w:rsidP="00636220">
      <w:pPr>
        <w:rPr>
          <w:rFonts w:ascii="Arial" w:hAnsi="Arial" w:cs="Arial"/>
          <w:color w:val="000000"/>
          <w:sz w:val="20"/>
          <w:szCs w:val="20"/>
          <w:lang w:val="en-GB"/>
        </w:rPr>
      </w:pPr>
    </w:p>
    <w:p w14:paraId="4A6757CB" w14:textId="42EBAFC8" w:rsidR="00071A1F" w:rsidRPr="009B39EC" w:rsidRDefault="00071A1F" w:rsidP="00636220">
      <w:pPr>
        <w:rPr>
          <w:rFonts w:ascii="Arial" w:hAnsi="Arial" w:cs="Arial"/>
          <w:color w:val="000000"/>
          <w:sz w:val="20"/>
          <w:szCs w:val="20"/>
          <w:lang w:val="en-GB"/>
        </w:rPr>
      </w:pPr>
    </w:p>
    <w:p w14:paraId="66C357C8" w14:textId="3F691A20" w:rsidR="00071A1F" w:rsidRPr="009B39EC" w:rsidRDefault="00071A1F" w:rsidP="00636220">
      <w:pPr>
        <w:rPr>
          <w:rFonts w:ascii="Arial" w:hAnsi="Arial" w:cs="Arial"/>
          <w:color w:val="000000"/>
          <w:sz w:val="20"/>
          <w:szCs w:val="20"/>
          <w:lang w:val="en-GB"/>
        </w:rPr>
      </w:pPr>
    </w:p>
    <w:p w14:paraId="3E1C0F99" w14:textId="0FD6C3A3" w:rsidR="00071A1F" w:rsidRPr="009B39EC" w:rsidRDefault="00071A1F" w:rsidP="00636220">
      <w:pPr>
        <w:rPr>
          <w:rFonts w:ascii="Arial" w:hAnsi="Arial" w:cs="Arial"/>
          <w:color w:val="000000"/>
          <w:sz w:val="20"/>
          <w:szCs w:val="20"/>
          <w:lang w:val="en-GB"/>
        </w:rPr>
      </w:pPr>
    </w:p>
    <w:p w14:paraId="3D1C022E" w14:textId="6456C69F" w:rsidR="00071A1F" w:rsidRDefault="00071A1F" w:rsidP="00636220">
      <w:pPr>
        <w:rPr>
          <w:rFonts w:ascii="Arial" w:hAnsi="Arial" w:cs="Arial"/>
          <w:color w:val="000000"/>
          <w:sz w:val="20"/>
          <w:szCs w:val="20"/>
          <w:lang w:val="en-GB"/>
        </w:rPr>
      </w:pPr>
    </w:p>
    <w:p w14:paraId="700EB8F8" w14:textId="7FDB01EB" w:rsidR="009B39EC" w:rsidRDefault="009B39EC" w:rsidP="00636220">
      <w:pPr>
        <w:rPr>
          <w:rFonts w:ascii="Arial" w:hAnsi="Arial" w:cs="Arial"/>
          <w:color w:val="000000"/>
          <w:sz w:val="20"/>
          <w:szCs w:val="20"/>
          <w:lang w:val="en-GB"/>
        </w:rPr>
      </w:pPr>
    </w:p>
    <w:p w14:paraId="0FE59015" w14:textId="77777777" w:rsidR="009B39EC" w:rsidRPr="009B39EC" w:rsidRDefault="009B39EC" w:rsidP="00636220">
      <w:pPr>
        <w:rPr>
          <w:rFonts w:ascii="Arial" w:hAnsi="Arial" w:cs="Arial"/>
          <w:color w:val="000000"/>
          <w:sz w:val="20"/>
          <w:szCs w:val="20"/>
          <w:lang w:val="en-GB"/>
        </w:rPr>
      </w:pPr>
    </w:p>
    <w:p w14:paraId="4B6A64BB" w14:textId="435E8687" w:rsidR="00071A1F" w:rsidRPr="009B39EC" w:rsidRDefault="00071A1F" w:rsidP="00636220">
      <w:pPr>
        <w:rPr>
          <w:rFonts w:ascii="Arial" w:hAnsi="Arial" w:cs="Arial"/>
          <w:color w:val="000000"/>
          <w:sz w:val="20"/>
          <w:szCs w:val="20"/>
          <w:lang w:val="en-GB"/>
        </w:rPr>
      </w:pPr>
    </w:p>
    <w:p w14:paraId="1C5BD158" w14:textId="49071126" w:rsidR="00071A1F" w:rsidRPr="009B39EC" w:rsidRDefault="00071A1F" w:rsidP="00636220">
      <w:pPr>
        <w:rPr>
          <w:rFonts w:ascii="Arial" w:hAnsi="Arial" w:cs="Arial"/>
          <w:color w:val="000000"/>
          <w:sz w:val="20"/>
          <w:szCs w:val="20"/>
          <w:lang w:val="en-GB"/>
        </w:rPr>
      </w:pPr>
    </w:p>
    <w:p w14:paraId="2F29B56C" w14:textId="7484A67C" w:rsidR="00071A1F" w:rsidRPr="009B39EC" w:rsidRDefault="00071A1F" w:rsidP="00636220">
      <w:pPr>
        <w:rPr>
          <w:rFonts w:ascii="Arial" w:hAnsi="Arial" w:cs="Arial"/>
          <w:color w:val="000000"/>
          <w:sz w:val="20"/>
          <w:szCs w:val="20"/>
          <w:lang w:val="en-GB"/>
        </w:rPr>
      </w:pPr>
    </w:p>
    <w:p w14:paraId="1FF3DADC" w14:textId="77777777" w:rsidR="000A542A" w:rsidRPr="009B39EC" w:rsidRDefault="000A542A" w:rsidP="00636220">
      <w:pPr>
        <w:rPr>
          <w:rFonts w:ascii="Arial" w:hAnsi="Arial" w:cs="Arial"/>
          <w:color w:val="000000"/>
          <w:sz w:val="20"/>
          <w:szCs w:val="20"/>
          <w:lang w:val="en-GB"/>
        </w:rPr>
      </w:pPr>
    </w:p>
    <w:p w14:paraId="5B38D413" w14:textId="5C8AD62B" w:rsidR="0053505A" w:rsidRPr="009B39EC" w:rsidRDefault="0053505A" w:rsidP="00636220">
      <w:pPr>
        <w:rPr>
          <w:rFonts w:ascii="Arial" w:hAnsi="Arial" w:cs="Arial"/>
          <w:color w:val="000000"/>
          <w:sz w:val="20"/>
          <w:szCs w:val="20"/>
          <w:lang w:val="en-GB"/>
        </w:rPr>
      </w:pPr>
    </w:p>
    <w:p w14:paraId="68CFB057" w14:textId="69F3F0ED" w:rsidR="0053505A" w:rsidRPr="009B39EC" w:rsidRDefault="0053505A" w:rsidP="0053505A">
      <w:pPr>
        <w:pStyle w:val="Heading1"/>
        <w:numPr>
          <w:ilvl w:val="0"/>
          <w:numId w:val="0"/>
        </w:numPr>
        <w:rPr>
          <w:rFonts w:cs="Arial"/>
          <w:color w:val="4472C4" w:themeColor="accent1"/>
          <w:sz w:val="20"/>
          <w:szCs w:val="20"/>
          <w:lang w:val="en-GB"/>
        </w:rPr>
      </w:pPr>
      <w:bookmarkStart w:id="0" w:name="_Toc75851655"/>
      <w:r w:rsidRPr="009B39EC">
        <w:rPr>
          <w:rFonts w:cs="Arial"/>
          <w:color w:val="4472C4" w:themeColor="accent1"/>
          <w:sz w:val="20"/>
          <w:szCs w:val="20"/>
          <w:lang w:val="en-GB"/>
        </w:rPr>
        <w:lastRenderedPageBreak/>
        <w:t>LIST</w:t>
      </w:r>
      <w:r w:rsidR="00BA4110" w:rsidRPr="009B39EC">
        <w:rPr>
          <w:rFonts w:cs="Arial"/>
          <w:color w:val="4472C4" w:themeColor="accent1"/>
          <w:sz w:val="20"/>
          <w:szCs w:val="20"/>
          <w:lang w:val="en-GB"/>
        </w:rPr>
        <w:t xml:space="preserve"> OF ABBREVIATIONS</w:t>
      </w:r>
      <w:bookmarkEnd w:id="0"/>
    </w:p>
    <w:p w14:paraId="02ACD865" w14:textId="77777777" w:rsidR="0053505A" w:rsidRPr="009B39EC" w:rsidRDefault="0053505A" w:rsidP="0053505A">
      <w:pPr>
        <w:spacing w:after="0" w:line="240" w:lineRule="auto"/>
        <w:rPr>
          <w:rFonts w:ascii="Arial" w:hAnsi="Arial" w:cs="Arial"/>
          <w:color w:val="000000"/>
          <w:sz w:val="20"/>
          <w:szCs w:val="20"/>
          <w:lang w:val="en-GB"/>
        </w:rPr>
      </w:pPr>
    </w:p>
    <w:p w14:paraId="73DF07A5"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ASP</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Albanian State Police</w:t>
      </w:r>
    </w:p>
    <w:p w14:paraId="4E354AC3" w14:textId="77777777" w:rsidR="00AE6B37" w:rsidRPr="009B39EC" w:rsidRDefault="00AE6B37" w:rsidP="0053505A">
      <w:pPr>
        <w:spacing w:after="0" w:line="240" w:lineRule="auto"/>
        <w:ind w:left="2124" w:hanging="2124"/>
        <w:rPr>
          <w:rFonts w:ascii="Arial" w:hAnsi="Arial" w:cs="Arial"/>
          <w:color w:val="000000"/>
          <w:sz w:val="20"/>
          <w:szCs w:val="20"/>
          <w:lang w:val="en-GB"/>
        </w:rPr>
      </w:pPr>
      <w:r w:rsidRPr="009B39EC">
        <w:rPr>
          <w:rFonts w:ascii="Arial" w:hAnsi="Arial" w:cs="Arial"/>
          <w:color w:val="000000"/>
          <w:sz w:val="20"/>
          <w:szCs w:val="20"/>
          <w:lang w:val="en-GB"/>
        </w:rPr>
        <w:t xml:space="preserve">CEDAW </w:t>
      </w:r>
      <w:r w:rsidRPr="009B39EC">
        <w:rPr>
          <w:rFonts w:ascii="Arial" w:hAnsi="Arial" w:cs="Arial"/>
          <w:color w:val="000000"/>
          <w:sz w:val="20"/>
          <w:szCs w:val="20"/>
          <w:lang w:val="en-GB"/>
        </w:rPr>
        <w:tab/>
        <w:t>Convention on the Elimination of All Forms of Discrimination against Women</w:t>
      </w:r>
    </w:p>
    <w:p w14:paraId="6D820490" w14:textId="19175915"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CLMB</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Counselling Line for Men and Boys, Tirana (NPO)</w:t>
      </w:r>
    </w:p>
    <w:p w14:paraId="2FF5ED78" w14:textId="2FC131DA"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CLWG</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00852584" w:rsidRPr="009B39EC">
        <w:rPr>
          <w:rFonts w:ascii="Arial" w:hAnsi="Arial" w:cs="Arial"/>
          <w:color w:val="000000"/>
          <w:sz w:val="20"/>
          <w:szCs w:val="20"/>
          <w:lang w:val="en-GB"/>
        </w:rPr>
        <w:tab/>
      </w:r>
      <w:r w:rsidRPr="009B39EC">
        <w:rPr>
          <w:rFonts w:ascii="Arial" w:hAnsi="Arial" w:cs="Arial"/>
          <w:color w:val="000000"/>
          <w:sz w:val="20"/>
          <w:szCs w:val="20"/>
          <w:lang w:val="en-GB"/>
        </w:rPr>
        <w:t>Counselling Line for Women and G</w:t>
      </w:r>
      <w:r w:rsidR="00852584" w:rsidRPr="009B39EC">
        <w:rPr>
          <w:rFonts w:ascii="Arial" w:hAnsi="Arial" w:cs="Arial"/>
          <w:color w:val="000000"/>
          <w:sz w:val="20"/>
          <w:szCs w:val="20"/>
          <w:lang w:val="en-GB"/>
        </w:rPr>
        <w:t>i</w:t>
      </w:r>
      <w:r w:rsidRPr="009B39EC">
        <w:rPr>
          <w:rFonts w:ascii="Arial" w:hAnsi="Arial" w:cs="Arial"/>
          <w:color w:val="000000"/>
          <w:sz w:val="20"/>
          <w:szCs w:val="20"/>
          <w:lang w:val="en-GB"/>
        </w:rPr>
        <w:t>rls, Tirana (NPO)</w:t>
      </w:r>
    </w:p>
    <w:p w14:paraId="08A3D077" w14:textId="662DFFA4" w:rsidR="00AE6B37" w:rsidRPr="009B39EC" w:rsidRDefault="000421FD"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D</w:t>
      </w:r>
      <w:r w:rsidR="00AE6B37" w:rsidRPr="009B39EC">
        <w:rPr>
          <w:rFonts w:ascii="Arial" w:hAnsi="Arial" w:cs="Arial"/>
          <w:color w:val="000000"/>
          <w:sz w:val="20"/>
          <w:szCs w:val="20"/>
          <w:lang w:val="en-GB"/>
        </w:rPr>
        <w:t>CoM</w:t>
      </w:r>
      <w:r w:rsidR="00AE6B37" w:rsidRPr="009B39EC">
        <w:rPr>
          <w:rFonts w:ascii="Arial" w:hAnsi="Arial" w:cs="Arial"/>
          <w:color w:val="000000"/>
          <w:sz w:val="20"/>
          <w:szCs w:val="20"/>
          <w:lang w:val="en-GB"/>
        </w:rPr>
        <w:tab/>
      </w:r>
      <w:proofErr w:type="gramStart"/>
      <w:r w:rsidR="00AE6B37" w:rsidRPr="009B39EC">
        <w:rPr>
          <w:rFonts w:ascii="Arial" w:hAnsi="Arial" w:cs="Arial"/>
          <w:color w:val="000000"/>
          <w:sz w:val="20"/>
          <w:szCs w:val="20"/>
          <w:lang w:val="en-GB"/>
        </w:rPr>
        <w:tab/>
        <w:t xml:space="preserve">  </w:t>
      </w:r>
      <w:r w:rsidR="00AE6B37" w:rsidRPr="009B39EC">
        <w:rPr>
          <w:rFonts w:ascii="Arial" w:hAnsi="Arial" w:cs="Arial"/>
          <w:color w:val="000000"/>
          <w:sz w:val="20"/>
          <w:szCs w:val="20"/>
          <w:lang w:val="en-GB"/>
        </w:rPr>
        <w:tab/>
      </w:r>
      <w:proofErr w:type="gramEnd"/>
      <w:r w:rsidRPr="009B39EC">
        <w:rPr>
          <w:rFonts w:ascii="Arial" w:hAnsi="Arial" w:cs="Arial"/>
          <w:color w:val="000000"/>
          <w:sz w:val="20"/>
          <w:szCs w:val="20"/>
          <w:lang w:val="en-GB"/>
        </w:rPr>
        <w:t xml:space="preserve">Decision of the </w:t>
      </w:r>
      <w:r w:rsidR="00AE6B37" w:rsidRPr="009B39EC">
        <w:rPr>
          <w:rFonts w:ascii="Arial" w:hAnsi="Arial" w:cs="Arial"/>
          <w:color w:val="000000"/>
          <w:sz w:val="20"/>
          <w:szCs w:val="20"/>
          <w:lang w:val="en-GB"/>
        </w:rPr>
        <w:t>Council of Ministers</w:t>
      </w:r>
    </w:p>
    <w:p w14:paraId="0F811DBB" w14:textId="7974AFD4"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CPD</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 xml:space="preserve">Commissioner for the Protection against </w:t>
      </w:r>
      <w:r w:rsidR="00445CB5" w:rsidRPr="009B39EC">
        <w:rPr>
          <w:rFonts w:ascii="Arial" w:hAnsi="Arial" w:cs="Arial"/>
          <w:color w:val="000000"/>
          <w:sz w:val="20"/>
          <w:szCs w:val="20"/>
          <w:lang w:val="en-GB"/>
        </w:rPr>
        <w:t>Discrimination</w:t>
      </w:r>
    </w:p>
    <w:p w14:paraId="675E40C2" w14:textId="2AFCA317" w:rsidR="00AE6B37" w:rsidRPr="009B39EC" w:rsidRDefault="00AE6B37" w:rsidP="0053505A">
      <w:pPr>
        <w:spacing w:after="0" w:line="240" w:lineRule="auto"/>
        <w:ind w:left="2124" w:hanging="2124"/>
        <w:rPr>
          <w:rFonts w:ascii="Arial" w:hAnsi="Arial" w:cs="Arial"/>
          <w:color w:val="000000"/>
          <w:sz w:val="20"/>
          <w:szCs w:val="20"/>
          <w:lang w:val="en-GB"/>
        </w:rPr>
      </w:pPr>
      <w:r w:rsidRPr="009B39EC">
        <w:rPr>
          <w:rFonts w:ascii="Arial" w:hAnsi="Arial" w:cs="Arial"/>
          <w:color w:val="000000"/>
          <w:sz w:val="20"/>
          <w:szCs w:val="20"/>
          <w:lang w:val="en-GB"/>
        </w:rPr>
        <w:t>CRM</w:t>
      </w:r>
      <w:r w:rsidRPr="009B39EC">
        <w:rPr>
          <w:rFonts w:ascii="Arial" w:hAnsi="Arial" w:cs="Arial"/>
          <w:color w:val="000000"/>
          <w:sz w:val="20"/>
          <w:szCs w:val="20"/>
          <w:lang w:val="en-GB"/>
        </w:rPr>
        <w:tab/>
        <w:t xml:space="preserve">Coordinated Referral Mechanism for </w:t>
      </w:r>
      <w:r w:rsidR="00D66369" w:rsidRPr="009B39EC">
        <w:rPr>
          <w:rFonts w:ascii="Arial" w:hAnsi="Arial" w:cs="Arial"/>
          <w:color w:val="000000"/>
          <w:sz w:val="20"/>
          <w:szCs w:val="20"/>
          <w:lang w:val="en-GB"/>
        </w:rPr>
        <w:t>r</w:t>
      </w:r>
      <w:r w:rsidRPr="009B39EC">
        <w:rPr>
          <w:rFonts w:ascii="Arial" w:hAnsi="Arial" w:cs="Arial"/>
          <w:color w:val="000000"/>
          <w:sz w:val="20"/>
          <w:szCs w:val="20"/>
          <w:lang w:val="en-GB"/>
        </w:rPr>
        <w:t>eporting cases of domestic violence</w:t>
      </w:r>
    </w:p>
    <w:p w14:paraId="25E74AAA"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CSO</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Civil Society Organisation</w:t>
      </w:r>
    </w:p>
    <w:p w14:paraId="35281CB9"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DV</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Domestic Violence</w:t>
      </w:r>
    </w:p>
    <w:p w14:paraId="5EE2AB30"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EU</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European Union</w:t>
      </w:r>
    </w:p>
    <w:p w14:paraId="38CE434E"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GBV</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Gender-based violence</w:t>
      </w:r>
    </w:p>
    <w:p w14:paraId="5BF8CC45"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GE</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Gender equality</w:t>
      </w:r>
    </w:p>
    <w:p w14:paraId="72C15119"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INSTAT</w:t>
      </w:r>
      <w:r w:rsidRPr="009B39EC">
        <w:rPr>
          <w:rFonts w:ascii="Arial" w:hAnsi="Arial" w:cs="Arial"/>
          <w:color w:val="000000"/>
          <w:sz w:val="20"/>
          <w:szCs w:val="20"/>
          <w:lang w:val="en-GB"/>
        </w:rPr>
        <w:tab/>
      </w:r>
      <w:r w:rsidRPr="009B39EC">
        <w:rPr>
          <w:rFonts w:ascii="Arial" w:hAnsi="Arial" w:cs="Arial"/>
          <w:color w:val="000000"/>
          <w:sz w:val="20"/>
          <w:szCs w:val="20"/>
          <w:lang w:val="en-GB"/>
        </w:rPr>
        <w:tab/>
        <w:t>Institute of Statistics, Albania</w:t>
      </w:r>
    </w:p>
    <w:p w14:paraId="7D512AB5"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MESY</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 xml:space="preserve">Ministry of Education, Sport and Youth </w:t>
      </w:r>
    </w:p>
    <w:p w14:paraId="2DE0610F" w14:textId="0F133243"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MFE</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00445CB5" w:rsidRPr="009B39EC">
        <w:rPr>
          <w:rFonts w:ascii="Arial" w:hAnsi="Arial" w:cs="Arial"/>
          <w:color w:val="000000"/>
          <w:sz w:val="20"/>
          <w:szCs w:val="20"/>
          <w:lang w:val="en-GB"/>
        </w:rPr>
        <w:t>Ministry</w:t>
      </w:r>
      <w:r w:rsidRPr="009B39EC">
        <w:rPr>
          <w:rFonts w:ascii="Arial" w:hAnsi="Arial" w:cs="Arial"/>
          <w:color w:val="000000"/>
          <w:sz w:val="20"/>
          <w:szCs w:val="20"/>
          <w:lang w:val="en-GB"/>
        </w:rPr>
        <w:t xml:space="preserve"> of Finance and Economy</w:t>
      </w:r>
    </w:p>
    <w:p w14:paraId="13F8474E"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MHSP</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Ministry of Health and Social Protection</w:t>
      </w:r>
    </w:p>
    <w:p w14:paraId="36D4406C"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MoI</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Ministry of the Interior</w:t>
      </w:r>
    </w:p>
    <w:p w14:paraId="07B834D9"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MoJ</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Ministry of Justice</w:t>
      </w:r>
    </w:p>
    <w:p w14:paraId="40D0127E"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NPO</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Non-Profit (Non-Governmental) Organisation</w:t>
      </w:r>
    </w:p>
    <w:p w14:paraId="09624551"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NSDI</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National Strategy for Development and Integration</w:t>
      </w:r>
    </w:p>
    <w:p w14:paraId="1A09EA3A"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NSGE</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National Strategy on Gender Equality</w:t>
      </w:r>
    </w:p>
    <w:p w14:paraId="096B7696" w14:textId="248241ED"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OMB</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Office for Men and Boys, Shkodr</w:t>
      </w:r>
      <w:r w:rsidR="005C3F9A" w:rsidRPr="009B39EC">
        <w:rPr>
          <w:rFonts w:ascii="Arial" w:hAnsi="Arial" w:cs="Arial"/>
          <w:color w:val="000000"/>
          <w:sz w:val="20"/>
          <w:szCs w:val="20"/>
          <w:lang w:val="en-GB"/>
        </w:rPr>
        <w:t>a</w:t>
      </w:r>
      <w:r w:rsidRPr="009B39EC">
        <w:rPr>
          <w:rFonts w:ascii="Arial" w:hAnsi="Arial" w:cs="Arial"/>
          <w:color w:val="000000"/>
          <w:sz w:val="20"/>
          <w:szCs w:val="20"/>
          <w:lang w:val="en-GB"/>
        </w:rPr>
        <w:t xml:space="preserve"> (NPO)</w:t>
      </w:r>
    </w:p>
    <w:p w14:paraId="7AB0FEDA"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PA</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People’s Advocate (Ombudsperson)</w:t>
      </w:r>
    </w:p>
    <w:p w14:paraId="732DF165" w14:textId="77777777" w:rsidR="00AE6B37" w:rsidRPr="009B39EC" w:rsidRDefault="00AE6B37" w:rsidP="0053505A">
      <w:pPr>
        <w:spacing w:after="0" w:line="240" w:lineRule="auto"/>
        <w:ind w:left="2124" w:hanging="2124"/>
        <w:rPr>
          <w:rFonts w:ascii="Arial" w:hAnsi="Arial" w:cs="Arial"/>
          <w:color w:val="000000"/>
          <w:sz w:val="20"/>
          <w:szCs w:val="20"/>
          <w:lang w:val="en-GB"/>
        </w:rPr>
      </w:pPr>
      <w:r w:rsidRPr="009B39EC">
        <w:rPr>
          <w:rFonts w:ascii="Arial" w:hAnsi="Arial" w:cs="Arial"/>
          <w:color w:val="000000"/>
          <w:sz w:val="20"/>
          <w:szCs w:val="20"/>
          <w:lang w:val="en-GB"/>
        </w:rPr>
        <w:t xml:space="preserve">UN Women </w:t>
      </w:r>
      <w:r w:rsidRPr="009B39EC">
        <w:rPr>
          <w:rFonts w:ascii="Arial" w:hAnsi="Arial" w:cs="Arial"/>
          <w:color w:val="000000"/>
          <w:sz w:val="20"/>
          <w:szCs w:val="20"/>
          <w:lang w:val="en-GB"/>
        </w:rPr>
        <w:tab/>
        <w:t>United Nations entity on Gender Equality and Women’s Empowerment</w:t>
      </w:r>
    </w:p>
    <w:p w14:paraId="4492A7CD" w14:textId="77777777" w:rsidR="00AE6B37" w:rsidRPr="009B39EC" w:rsidRDefault="00AE6B37" w:rsidP="0053505A">
      <w:pPr>
        <w:spacing w:after="0" w:line="240" w:lineRule="auto"/>
        <w:rPr>
          <w:rFonts w:ascii="Arial" w:hAnsi="Arial" w:cs="Arial"/>
          <w:color w:val="000000"/>
          <w:sz w:val="20"/>
          <w:szCs w:val="20"/>
          <w:lang w:val="en-GB"/>
        </w:rPr>
      </w:pPr>
      <w:r w:rsidRPr="009B39EC">
        <w:rPr>
          <w:rFonts w:ascii="Arial" w:hAnsi="Arial" w:cs="Arial"/>
          <w:color w:val="000000"/>
          <w:sz w:val="20"/>
          <w:szCs w:val="20"/>
          <w:lang w:val="en-GB"/>
        </w:rPr>
        <w:t>VaW</w:t>
      </w:r>
      <w:r w:rsidRPr="009B39EC">
        <w:rPr>
          <w:rFonts w:ascii="Arial" w:hAnsi="Arial" w:cs="Arial"/>
          <w:color w:val="000000"/>
          <w:sz w:val="20"/>
          <w:szCs w:val="20"/>
          <w:lang w:val="en-GB"/>
        </w:rPr>
        <w:tab/>
      </w:r>
      <w:r w:rsidRPr="009B39EC">
        <w:rPr>
          <w:rFonts w:ascii="Arial" w:hAnsi="Arial" w:cs="Arial"/>
          <w:color w:val="000000"/>
          <w:sz w:val="20"/>
          <w:szCs w:val="20"/>
          <w:lang w:val="en-GB"/>
        </w:rPr>
        <w:tab/>
      </w:r>
      <w:r w:rsidRPr="009B39EC">
        <w:rPr>
          <w:rFonts w:ascii="Arial" w:hAnsi="Arial" w:cs="Arial"/>
          <w:color w:val="000000"/>
          <w:sz w:val="20"/>
          <w:szCs w:val="20"/>
          <w:lang w:val="en-GB"/>
        </w:rPr>
        <w:tab/>
        <w:t>Violence against women</w:t>
      </w:r>
    </w:p>
    <w:p w14:paraId="48315E65" w14:textId="77777777" w:rsidR="0053505A" w:rsidRPr="009B39EC" w:rsidRDefault="0053505A" w:rsidP="0053505A">
      <w:pPr>
        <w:rPr>
          <w:rFonts w:ascii="Arial" w:hAnsi="Arial" w:cs="Arial"/>
          <w:color w:val="000000"/>
          <w:sz w:val="20"/>
          <w:szCs w:val="20"/>
          <w:lang w:val="en-GB"/>
        </w:rPr>
      </w:pPr>
    </w:p>
    <w:p w14:paraId="55470710" w14:textId="20E6C9AE" w:rsidR="0053505A" w:rsidRPr="009B39EC" w:rsidRDefault="0053505A" w:rsidP="00636220">
      <w:pPr>
        <w:rPr>
          <w:rFonts w:ascii="Arial" w:hAnsi="Arial" w:cs="Arial"/>
          <w:color w:val="000000"/>
          <w:sz w:val="20"/>
          <w:szCs w:val="20"/>
          <w:lang w:val="en-GB"/>
        </w:rPr>
      </w:pPr>
    </w:p>
    <w:p w14:paraId="50D3DC05" w14:textId="013D5E65" w:rsidR="00852584" w:rsidRPr="009B39EC" w:rsidRDefault="00852584">
      <w:pPr>
        <w:rPr>
          <w:rFonts w:ascii="Arial" w:hAnsi="Arial" w:cs="Arial"/>
          <w:color w:val="000000"/>
          <w:sz w:val="20"/>
          <w:szCs w:val="20"/>
          <w:lang w:val="en-GB"/>
        </w:rPr>
      </w:pPr>
      <w:r w:rsidRPr="009B39EC">
        <w:rPr>
          <w:rFonts w:ascii="Arial" w:hAnsi="Arial" w:cs="Arial"/>
          <w:color w:val="000000"/>
          <w:sz w:val="20"/>
          <w:szCs w:val="20"/>
          <w:lang w:val="en-GB"/>
        </w:rPr>
        <w:br w:type="page"/>
      </w:r>
    </w:p>
    <w:p w14:paraId="2A5B06BC" w14:textId="77777777" w:rsidR="0053505A" w:rsidRPr="009B39EC" w:rsidRDefault="0053505A" w:rsidP="00636220">
      <w:pPr>
        <w:rPr>
          <w:rFonts w:ascii="Arial" w:hAnsi="Arial" w:cs="Arial"/>
          <w:color w:val="000000"/>
          <w:sz w:val="20"/>
          <w:szCs w:val="20"/>
          <w:lang w:val="en-GB"/>
        </w:rPr>
      </w:pPr>
    </w:p>
    <w:p w14:paraId="4C0E4574" w14:textId="5A8B53DF" w:rsidR="0053505A" w:rsidRPr="009B39EC" w:rsidRDefault="0053505A" w:rsidP="00636220">
      <w:pPr>
        <w:rPr>
          <w:rFonts w:ascii="Arial" w:hAnsi="Arial" w:cs="Arial"/>
          <w:color w:val="000000"/>
          <w:sz w:val="20"/>
          <w:szCs w:val="20"/>
          <w:lang w:val="en-GB"/>
        </w:rPr>
      </w:pPr>
    </w:p>
    <w:p w14:paraId="57B5AA17" w14:textId="77777777" w:rsidR="00975ECA" w:rsidRPr="009B39EC" w:rsidRDefault="00975ECA" w:rsidP="00636220">
      <w:pPr>
        <w:rPr>
          <w:rFonts w:ascii="Arial" w:hAnsi="Arial" w:cs="Arial"/>
          <w:color w:val="000000"/>
          <w:sz w:val="20"/>
          <w:szCs w:val="20"/>
          <w:lang w:val="en-GB"/>
        </w:rPr>
      </w:pPr>
    </w:p>
    <w:p w14:paraId="46CFDE0A" w14:textId="6EF742B2" w:rsidR="001850FB" w:rsidRPr="009B39EC" w:rsidRDefault="007746AD" w:rsidP="00C27A21">
      <w:pPr>
        <w:pStyle w:val="NoSpacing"/>
        <w:numPr>
          <w:ilvl w:val="0"/>
          <w:numId w:val="5"/>
        </w:numPr>
        <w:jc w:val="both"/>
        <w:outlineLvl w:val="0"/>
        <w:rPr>
          <w:rFonts w:ascii="Arial" w:hAnsi="Arial" w:cs="Arial"/>
          <w:b/>
          <w:bCs/>
          <w:color w:val="4472C4" w:themeColor="accent1"/>
          <w:sz w:val="20"/>
          <w:szCs w:val="20"/>
          <w:lang w:val="en-GB"/>
        </w:rPr>
      </w:pPr>
      <w:bookmarkStart w:id="1" w:name="_Toc75851656"/>
      <w:r w:rsidRPr="009B39EC">
        <w:rPr>
          <w:rFonts w:ascii="Arial" w:hAnsi="Arial" w:cs="Arial"/>
          <w:b/>
          <w:bCs/>
          <w:color w:val="4472C4" w:themeColor="accent1"/>
          <w:sz w:val="20"/>
          <w:szCs w:val="20"/>
          <w:lang w:val="en-GB"/>
        </w:rPr>
        <w:t>INTRODUCTION</w:t>
      </w:r>
      <w:bookmarkEnd w:id="1"/>
    </w:p>
    <w:p w14:paraId="7AB6332B" w14:textId="77777777" w:rsidR="005C3F9A" w:rsidRPr="009B39EC" w:rsidRDefault="005C3F9A" w:rsidP="00C27A21">
      <w:pPr>
        <w:pStyle w:val="NoSpacing"/>
        <w:jc w:val="both"/>
        <w:rPr>
          <w:rFonts w:ascii="Arial" w:hAnsi="Arial" w:cs="Arial"/>
          <w:sz w:val="20"/>
          <w:szCs w:val="20"/>
          <w:lang w:val="en-GB"/>
        </w:rPr>
      </w:pPr>
    </w:p>
    <w:p w14:paraId="657F71B2" w14:textId="3427ECDA" w:rsidR="00BF2C8D" w:rsidRPr="009B39EC" w:rsidRDefault="007746AD" w:rsidP="00C27A21">
      <w:pPr>
        <w:pStyle w:val="NoSpacing"/>
        <w:jc w:val="both"/>
        <w:rPr>
          <w:rFonts w:ascii="Arial" w:hAnsi="Arial" w:cs="Arial"/>
          <w:sz w:val="20"/>
          <w:szCs w:val="20"/>
          <w:lang w:val="en-GB"/>
        </w:rPr>
      </w:pPr>
      <w:r w:rsidRPr="009B39EC">
        <w:rPr>
          <w:rFonts w:ascii="Arial" w:hAnsi="Arial" w:cs="Arial"/>
          <w:sz w:val="20"/>
          <w:szCs w:val="20"/>
          <w:lang w:val="en-GB"/>
        </w:rPr>
        <w:t xml:space="preserve">The Republic of Albania is honoured to submit </w:t>
      </w:r>
      <w:r w:rsidR="00923FDB" w:rsidRPr="009B39EC">
        <w:rPr>
          <w:rFonts w:ascii="Arial" w:hAnsi="Arial" w:cs="Arial"/>
          <w:sz w:val="20"/>
          <w:szCs w:val="20"/>
          <w:lang w:val="en-GB"/>
        </w:rPr>
        <w:t xml:space="preserve">this report on the implementation of recommendations the Committee addressed to Albania </w:t>
      </w:r>
      <w:r w:rsidRPr="009B39EC">
        <w:rPr>
          <w:rFonts w:ascii="Arial" w:hAnsi="Arial" w:cs="Arial"/>
          <w:sz w:val="20"/>
          <w:szCs w:val="20"/>
          <w:lang w:val="en-GB"/>
        </w:rPr>
        <w:t>to the Committee of Parties to the Council of Europe Convention on Preventing and Combatting Violence against Women and Domestic Violence</w:t>
      </w:r>
      <w:r w:rsidRPr="009B39EC">
        <w:rPr>
          <w:rStyle w:val="FootnoteReference"/>
          <w:rFonts w:ascii="Arial" w:hAnsi="Arial" w:cs="Arial"/>
          <w:sz w:val="20"/>
          <w:szCs w:val="20"/>
          <w:lang w:val="en-GB"/>
        </w:rPr>
        <w:footnoteReference w:id="1"/>
      </w:r>
      <w:r w:rsidR="000C794E" w:rsidRPr="009B39EC">
        <w:rPr>
          <w:rFonts w:ascii="Arial" w:hAnsi="Arial" w:cs="Arial"/>
          <w:sz w:val="20"/>
          <w:szCs w:val="20"/>
          <w:lang w:val="en-GB"/>
        </w:rPr>
        <w:t xml:space="preserve">. </w:t>
      </w:r>
      <w:r w:rsidR="00923FDB" w:rsidRPr="009B39EC">
        <w:rPr>
          <w:rFonts w:ascii="Arial" w:hAnsi="Arial" w:cs="Arial"/>
          <w:sz w:val="20"/>
          <w:szCs w:val="20"/>
          <w:lang w:val="en-GB"/>
        </w:rPr>
        <w:t xml:space="preserve">The report focuses its attention on the implementation of the recommendations </w:t>
      </w:r>
      <w:r w:rsidR="00873EEB" w:rsidRPr="009B39EC">
        <w:rPr>
          <w:rFonts w:ascii="Arial" w:hAnsi="Arial" w:cs="Arial"/>
          <w:sz w:val="20"/>
          <w:szCs w:val="20"/>
          <w:lang w:val="en-GB"/>
        </w:rPr>
        <w:t xml:space="preserve">issued </w:t>
      </w:r>
      <w:r w:rsidR="00923FDB" w:rsidRPr="009B39EC">
        <w:rPr>
          <w:rFonts w:ascii="Arial" w:hAnsi="Arial" w:cs="Arial"/>
          <w:sz w:val="20"/>
          <w:szCs w:val="20"/>
          <w:lang w:val="en-GB"/>
        </w:rPr>
        <w:t>by the Group of Experts on Action against Violence against Women and Domestic Violence</w:t>
      </w:r>
      <w:r w:rsidR="000C794E" w:rsidRPr="009B39EC">
        <w:rPr>
          <w:rFonts w:ascii="Arial" w:hAnsi="Arial" w:cs="Arial"/>
          <w:sz w:val="20"/>
          <w:szCs w:val="20"/>
          <w:lang w:val="en-GB"/>
        </w:rPr>
        <w:t xml:space="preserve"> (GREVIO)</w:t>
      </w:r>
      <w:r w:rsidR="007D7015" w:rsidRPr="009B39EC">
        <w:rPr>
          <w:rFonts w:ascii="Arial" w:hAnsi="Arial" w:cs="Arial"/>
          <w:sz w:val="20"/>
          <w:szCs w:val="20"/>
          <w:lang w:val="en-GB"/>
        </w:rPr>
        <w:t xml:space="preserve"> </w:t>
      </w:r>
      <w:r w:rsidR="00923FDB" w:rsidRPr="009B39EC">
        <w:rPr>
          <w:rFonts w:ascii="Arial" w:hAnsi="Arial" w:cs="Arial"/>
          <w:sz w:val="20"/>
          <w:szCs w:val="20"/>
          <w:lang w:val="en-GB"/>
        </w:rPr>
        <w:t xml:space="preserve">which urge the taking of ‘immediate’ action or ‘strongly encourage’ Albanian Government </w:t>
      </w:r>
      <w:r w:rsidR="007D7015" w:rsidRPr="009B39EC">
        <w:rPr>
          <w:rFonts w:ascii="Arial" w:hAnsi="Arial" w:cs="Arial"/>
          <w:sz w:val="20"/>
          <w:szCs w:val="20"/>
          <w:lang w:val="en-GB"/>
        </w:rPr>
        <w:t>t</w:t>
      </w:r>
      <w:r w:rsidR="00923FDB" w:rsidRPr="009B39EC">
        <w:rPr>
          <w:rFonts w:ascii="Arial" w:hAnsi="Arial" w:cs="Arial"/>
          <w:sz w:val="20"/>
          <w:szCs w:val="20"/>
          <w:lang w:val="en-GB"/>
        </w:rPr>
        <w:t>o do so</w:t>
      </w:r>
      <w:r w:rsidR="007D7015" w:rsidRPr="009B39EC">
        <w:rPr>
          <w:rFonts w:ascii="Arial" w:hAnsi="Arial" w:cs="Arial"/>
          <w:i/>
          <w:iCs/>
          <w:sz w:val="20"/>
          <w:szCs w:val="20"/>
          <w:lang w:val="en-GB"/>
        </w:rPr>
        <w:t>.</w:t>
      </w:r>
      <w:r w:rsidR="00BF2C8D" w:rsidRPr="009B39EC">
        <w:rPr>
          <w:rFonts w:ascii="Arial" w:hAnsi="Arial" w:cs="Arial"/>
          <w:sz w:val="20"/>
          <w:szCs w:val="20"/>
          <w:lang w:val="en-GB"/>
        </w:rPr>
        <w:t xml:space="preserve"> </w:t>
      </w:r>
    </w:p>
    <w:p w14:paraId="5980AE04" w14:textId="38A0AD57" w:rsidR="00AC04E7" w:rsidRPr="009B39EC" w:rsidRDefault="00AC04E7" w:rsidP="00C27A21">
      <w:pPr>
        <w:pStyle w:val="NoSpacing"/>
        <w:jc w:val="both"/>
        <w:rPr>
          <w:rFonts w:ascii="Arial" w:hAnsi="Arial" w:cs="Arial"/>
          <w:sz w:val="20"/>
          <w:szCs w:val="20"/>
          <w:lang w:val="en-GB"/>
        </w:rPr>
      </w:pPr>
    </w:p>
    <w:p w14:paraId="71C52DDB" w14:textId="7229E0B0" w:rsidR="00AC04E7" w:rsidRPr="009B39EC" w:rsidRDefault="00923FDB" w:rsidP="00C27A21">
      <w:pPr>
        <w:pStyle w:val="NoSpacing"/>
        <w:jc w:val="both"/>
        <w:rPr>
          <w:rFonts w:ascii="Arial" w:hAnsi="Arial" w:cs="Arial"/>
          <w:sz w:val="20"/>
          <w:szCs w:val="20"/>
          <w:lang w:val="en-GB"/>
        </w:rPr>
      </w:pPr>
      <w:r w:rsidRPr="009B39EC">
        <w:rPr>
          <w:rFonts w:ascii="Arial" w:hAnsi="Arial" w:cs="Arial"/>
          <w:sz w:val="20"/>
          <w:szCs w:val="20"/>
          <w:lang w:val="en-GB"/>
        </w:rPr>
        <w:t>The Council of Europe Convention on Preventing and Combatting Violence against Women and Domestic Violence (Istanbul Convention) has be</w:t>
      </w:r>
      <w:r w:rsidR="005C3F9A" w:rsidRPr="009B39EC">
        <w:rPr>
          <w:rFonts w:ascii="Arial" w:hAnsi="Arial" w:cs="Arial"/>
          <w:sz w:val="20"/>
          <w:szCs w:val="20"/>
          <w:lang w:val="en-GB"/>
        </w:rPr>
        <w:t>en</w:t>
      </w:r>
      <w:r w:rsidRPr="009B39EC">
        <w:rPr>
          <w:rFonts w:ascii="Arial" w:hAnsi="Arial" w:cs="Arial"/>
          <w:sz w:val="20"/>
          <w:szCs w:val="20"/>
          <w:lang w:val="en-GB"/>
        </w:rPr>
        <w:t xml:space="preserve"> incorporated into the </w:t>
      </w:r>
      <w:r w:rsidR="00445CB5" w:rsidRPr="009B39EC">
        <w:rPr>
          <w:rFonts w:ascii="Arial" w:hAnsi="Arial" w:cs="Arial"/>
          <w:sz w:val="20"/>
          <w:szCs w:val="20"/>
          <w:lang w:val="en-GB"/>
        </w:rPr>
        <w:t>Albanian domestic</w:t>
      </w:r>
      <w:r w:rsidR="009C5D21" w:rsidRPr="009B39EC">
        <w:rPr>
          <w:rFonts w:ascii="Arial" w:hAnsi="Arial" w:cs="Arial"/>
          <w:sz w:val="20"/>
          <w:szCs w:val="20"/>
          <w:lang w:val="en-GB"/>
        </w:rPr>
        <w:t xml:space="preserve"> </w:t>
      </w:r>
      <w:r w:rsidRPr="009B39EC">
        <w:rPr>
          <w:rFonts w:ascii="Arial" w:hAnsi="Arial" w:cs="Arial"/>
          <w:sz w:val="20"/>
          <w:szCs w:val="20"/>
          <w:lang w:val="en-GB"/>
        </w:rPr>
        <w:t xml:space="preserve">legislation </w:t>
      </w:r>
      <w:r w:rsidR="009C5D21" w:rsidRPr="009B39EC">
        <w:rPr>
          <w:rFonts w:ascii="Arial" w:hAnsi="Arial" w:cs="Arial"/>
          <w:sz w:val="20"/>
          <w:szCs w:val="20"/>
          <w:lang w:val="en-GB"/>
        </w:rPr>
        <w:t xml:space="preserve">since 1 August </w:t>
      </w:r>
      <w:r w:rsidR="00AC04E7" w:rsidRPr="009B39EC">
        <w:rPr>
          <w:rFonts w:ascii="Arial" w:hAnsi="Arial" w:cs="Arial"/>
          <w:sz w:val="20"/>
          <w:szCs w:val="20"/>
          <w:lang w:val="en-GB"/>
        </w:rPr>
        <w:t xml:space="preserve">2014. </w:t>
      </w:r>
      <w:r w:rsidR="009C5D21" w:rsidRPr="009B39EC">
        <w:rPr>
          <w:rFonts w:ascii="Arial" w:hAnsi="Arial" w:cs="Arial"/>
          <w:sz w:val="20"/>
          <w:szCs w:val="20"/>
          <w:lang w:val="en-GB"/>
        </w:rPr>
        <w:t>Albania signed the Convention on</w:t>
      </w:r>
      <w:r w:rsidR="00AC04E7" w:rsidRPr="009B39EC">
        <w:rPr>
          <w:rFonts w:ascii="Arial" w:hAnsi="Arial" w:cs="Arial"/>
          <w:sz w:val="20"/>
          <w:szCs w:val="20"/>
          <w:lang w:val="en-GB"/>
        </w:rPr>
        <w:t xml:space="preserve"> 19 </w:t>
      </w:r>
      <w:r w:rsidR="009C5D21" w:rsidRPr="009B39EC">
        <w:rPr>
          <w:rFonts w:ascii="Arial" w:hAnsi="Arial" w:cs="Arial"/>
          <w:sz w:val="20"/>
          <w:szCs w:val="20"/>
          <w:lang w:val="en-GB"/>
        </w:rPr>
        <w:t>December</w:t>
      </w:r>
      <w:r w:rsidR="00AC04E7" w:rsidRPr="009B39EC">
        <w:rPr>
          <w:rFonts w:ascii="Arial" w:hAnsi="Arial" w:cs="Arial"/>
          <w:sz w:val="20"/>
          <w:szCs w:val="20"/>
          <w:lang w:val="en-GB"/>
        </w:rPr>
        <w:t xml:space="preserve"> 2011</w:t>
      </w:r>
      <w:r w:rsidR="009C5D21" w:rsidRPr="009B39EC">
        <w:rPr>
          <w:rFonts w:ascii="Arial" w:hAnsi="Arial" w:cs="Arial"/>
          <w:sz w:val="20"/>
          <w:szCs w:val="20"/>
          <w:lang w:val="en-GB"/>
        </w:rPr>
        <w:t xml:space="preserve"> and subsequently ratified it on </w:t>
      </w:r>
      <w:r w:rsidR="00AC04E7" w:rsidRPr="009B39EC">
        <w:rPr>
          <w:rFonts w:ascii="Arial" w:hAnsi="Arial" w:cs="Arial"/>
          <w:sz w:val="20"/>
          <w:szCs w:val="20"/>
          <w:lang w:val="en-GB"/>
        </w:rPr>
        <w:t xml:space="preserve">4 </w:t>
      </w:r>
      <w:r w:rsidR="009C5D21" w:rsidRPr="009B39EC">
        <w:rPr>
          <w:rFonts w:ascii="Arial" w:hAnsi="Arial" w:cs="Arial"/>
          <w:sz w:val="20"/>
          <w:szCs w:val="20"/>
          <w:lang w:val="en-GB"/>
        </w:rPr>
        <w:t>February</w:t>
      </w:r>
      <w:r w:rsidR="00AC04E7" w:rsidRPr="009B39EC">
        <w:rPr>
          <w:rFonts w:ascii="Arial" w:hAnsi="Arial" w:cs="Arial"/>
          <w:sz w:val="20"/>
          <w:szCs w:val="20"/>
          <w:lang w:val="en-GB"/>
        </w:rPr>
        <w:t xml:space="preserve"> 2013 (</w:t>
      </w:r>
      <w:r w:rsidR="009C5D21" w:rsidRPr="009B39EC">
        <w:rPr>
          <w:rFonts w:ascii="Arial" w:hAnsi="Arial" w:cs="Arial"/>
          <w:sz w:val="20"/>
          <w:szCs w:val="20"/>
          <w:lang w:val="en-GB"/>
        </w:rPr>
        <w:t xml:space="preserve">the second </w:t>
      </w:r>
      <w:r w:rsidR="001C7932" w:rsidRPr="009B39EC">
        <w:rPr>
          <w:rFonts w:ascii="Arial" w:hAnsi="Arial" w:cs="Arial"/>
          <w:sz w:val="20"/>
          <w:szCs w:val="20"/>
          <w:lang w:val="en-GB"/>
        </w:rPr>
        <w:t>Council of Europe Member State to ratify the Convention without any reservations</w:t>
      </w:r>
      <w:r w:rsidR="00AC04E7" w:rsidRPr="009B39EC">
        <w:rPr>
          <w:rFonts w:ascii="Arial" w:hAnsi="Arial" w:cs="Arial"/>
          <w:sz w:val="20"/>
          <w:szCs w:val="20"/>
          <w:lang w:val="en-GB"/>
        </w:rPr>
        <w:t xml:space="preserve">). </w:t>
      </w:r>
      <w:r w:rsidR="005C3F9A" w:rsidRPr="009B39EC">
        <w:rPr>
          <w:rFonts w:ascii="Arial" w:hAnsi="Arial" w:cs="Arial"/>
          <w:sz w:val="20"/>
          <w:szCs w:val="20"/>
          <w:lang w:val="en-GB"/>
        </w:rPr>
        <w:t>A</w:t>
      </w:r>
      <w:r w:rsidR="001C7932" w:rsidRPr="009B39EC">
        <w:rPr>
          <w:rFonts w:ascii="Arial" w:hAnsi="Arial" w:cs="Arial"/>
          <w:sz w:val="20"/>
          <w:szCs w:val="20"/>
          <w:lang w:val="en-GB"/>
        </w:rPr>
        <w:t xml:space="preserve"> baseline evaluation </w:t>
      </w:r>
      <w:r w:rsidR="0087777E" w:rsidRPr="009B39EC">
        <w:rPr>
          <w:rFonts w:ascii="Arial" w:hAnsi="Arial" w:cs="Arial"/>
          <w:sz w:val="20"/>
          <w:szCs w:val="20"/>
          <w:lang w:val="en-GB"/>
        </w:rPr>
        <w:t xml:space="preserve">on the implementation of the provisions of the </w:t>
      </w:r>
      <w:r w:rsidR="001C7932" w:rsidRPr="009B39EC">
        <w:rPr>
          <w:rFonts w:ascii="Arial" w:hAnsi="Arial" w:cs="Arial"/>
          <w:sz w:val="20"/>
          <w:szCs w:val="20"/>
          <w:lang w:val="en-GB"/>
        </w:rPr>
        <w:t xml:space="preserve">Istanbul Convention </w:t>
      </w:r>
      <w:r w:rsidR="0087777E" w:rsidRPr="009B39EC">
        <w:rPr>
          <w:rFonts w:ascii="Arial" w:hAnsi="Arial" w:cs="Arial"/>
          <w:sz w:val="20"/>
          <w:szCs w:val="20"/>
          <w:lang w:val="en-GB"/>
        </w:rPr>
        <w:t>by</w:t>
      </w:r>
      <w:r w:rsidR="001C7932" w:rsidRPr="009B39EC">
        <w:rPr>
          <w:rFonts w:ascii="Arial" w:hAnsi="Arial" w:cs="Arial"/>
          <w:sz w:val="20"/>
          <w:szCs w:val="20"/>
          <w:lang w:val="en-GB"/>
        </w:rPr>
        <w:t xml:space="preserve"> Albania was carried out </w:t>
      </w:r>
      <w:r w:rsidR="00095EFC" w:rsidRPr="009B39EC">
        <w:rPr>
          <w:rFonts w:ascii="Arial" w:hAnsi="Arial" w:cs="Arial"/>
          <w:sz w:val="20"/>
          <w:szCs w:val="20"/>
          <w:lang w:val="en-GB"/>
        </w:rPr>
        <w:t>in the course of</w:t>
      </w:r>
      <w:r w:rsidR="001C7932" w:rsidRPr="009B39EC">
        <w:rPr>
          <w:rFonts w:ascii="Arial" w:hAnsi="Arial" w:cs="Arial"/>
          <w:sz w:val="20"/>
          <w:szCs w:val="20"/>
          <w:lang w:val="en-GB"/>
        </w:rPr>
        <w:t xml:space="preserve"> 2017</w:t>
      </w:r>
      <w:r w:rsidR="00095EFC" w:rsidRPr="009B39EC">
        <w:rPr>
          <w:rFonts w:ascii="Arial" w:hAnsi="Arial" w:cs="Arial"/>
          <w:sz w:val="20"/>
          <w:szCs w:val="20"/>
          <w:lang w:val="en-GB"/>
        </w:rPr>
        <w:t xml:space="preserve">. The </w:t>
      </w:r>
      <w:r w:rsidR="0087777E" w:rsidRPr="009B39EC">
        <w:rPr>
          <w:rFonts w:ascii="Arial" w:hAnsi="Arial" w:cs="Arial"/>
          <w:sz w:val="20"/>
          <w:szCs w:val="20"/>
          <w:lang w:val="en-GB"/>
        </w:rPr>
        <w:t xml:space="preserve">evaluation process </w:t>
      </w:r>
      <w:r w:rsidR="00095EFC" w:rsidRPr="009B39EC">
        <w:rPr>
          <w:rFonts w:ascii="Arial" w:hAnsi="Arial" w:cs="Arial"/>
          <w:sz w:val="20"/>
          <w:szCs w:val="20"/>
          <w:lang w:val="en-GB"/>
        </w:rPr>
        <w:t xml:space="preserve">started with the </w:t>
      </w:r>
      <w:r w:rsidR="001C7932" w:rsidRPr="009B39EC">
        <w:rPr>
          <w:rFonts w:ascii="Arial" w:hAnsi="Arial" w:cs="Arial"/>
          <w:sz w:val="20"/>
          <w:szCs w:val="20"/>
          <w:lang w:val="en-GB"/>
        </w:rPr>
        <w:t xml:space="preserve">submission of </w:t>
      </w:r>
      <w:r w:rsidR="00095EFC" w:rsidRPr="009B39EC">
        <w:rPr>
          <w:rFonts w:ascii="Arial" w:hAnsi="Arial" w:cs="Arial"/>
          <w:sz w:val="20"/>
          <w:szCs w:val="20"/>
          <w:lang w:val="en-GB"/>
        </w:rPr>
        <w:t>a</w:t>
      </w:r>
      <w:r w:rsidR="001C7932" w:rsidRPr="009B39EC">
        <w:rPr>
          <w:rFonts w:ascii="Arial" w:hAnsi="Arial" w:cs="Arial"/>
          <w:sz w:val="20"/>
          <w:szCs w:val="20"/>
          <w:lang w:val="en-GB"/>
        </w:rPr>
        <w:t xml:space="preserve"> report by the Albanian authorities</w:t>
      </w:r>
      <w:r w:rsidR="00EB58A7" w:rsidRPr="009B39EC">
        <w:rPr>
          <w:rFonts w:ascii="Arial" w:hAnsi="Arial" w:cs="Arial"/>
          <w:sz w:val="20"/>
          <w:szCs w:val="20"/>
          <w:lang w:val="en-GB"/>
        </w:rPr>
        <w:t xml:space="preserve"> (16 </w:t>
      </w:r>
      <w:r w:rsidR="001C7932" w:rsidRPr="009B39EC">
        <w:rPr>
          <w:rFonts w:ascii="Arial" w:hAnsi="Arial" w:cs="Arial"/>
          <w:sz w:val="20"/>
          <w:szCs w:val="20"/>
          <w:lang w:val="en-GB"/>
        </w:rPr>
        <w:t>January</w:t>
      </w:r>
      <w:r w:rsidR="00EB58A7" w:rsidRPr="009B39EC">
        <w:rPr>
          <w:rFonts w:ascii="Arial" w:hAnsi="Arial" w:cs="Arial"/>
          <w:sz w:val="20"/>
          <w:szCs w:val="20"/>
          <w:lang w:val="en-GB"/>
        </w:rPr>
        <w:t xml:space="preserve"> 2017) </w:t>
      </w:r>
      <w:r w:rsidR="00095EFC" w:rsidRPr="009B39EC">
        <w:rPr>
          <w:rFonts w:ascii="Arial" w:hAnsi="Arial" w:cs="Arial"/>
          <w:sz w:val="20"/>
          <w:szCs w:val="20"/>
          <w:lang w:val="en-GB"/>
        </w:rPr>
        <w:t xml:space="preserve">followed by </w:t>
      </w:r>
      <w:proofErr w:type="gramStart"/>
      <w:r w:rsidR="00095EFC" w:rsidRPr="009B39EC">
        <w:rPr>
          <w:rFonts w:ascii="Arial" w:hAnsi="Arial" w:cs="Arial"/>
          <w:sz w:val="20"/>
          <w:szCs w:val="20"/>
          <w:lang w:val="en-GB"/>
        </w:rPr>
        <w:t xml:space="preserve">a </w:t>
      </w:r>
      <w:r w:rsidR="004C6520" w:rsidRPr="009B39EC">
        <w:rPr>
          <w:rFonts w:ascii="Arial" w:hAnsi="Arial" w:cs="Arial"/>
          <w:sz w:val="20"/>
          <w:szCs w:val="20"/>
          <w:lang w:val="en-GB"/>
        </w:rPr>
        <w:t>number</w:t>
      </w:r>
      <w:r w:rsidR="00095EFC" w:rsidRPr="009B39EC">
        <w:rPr>
          <w:rFonts w:ascii="Arial" w:hAnsi="Arial" w:cs="Arial"/>
          <w:sz w:val="20"/>
          <w:szCs w:val="20"/>
          <w:lang w:val="en-GB"/>
        </w:rPr>
        <w:t xml:space="preserve"> of</w:t>
      </w:r>
      <w:proofErr w:type="gramEnd"/>
      <w:r w:rsidR="00095EFC" w:rsidRPr="009B39EC">
        <w:rPr>
          <w:rFonts w:ascii="Arial" w:hAnsi="Arial" w:cs="Arial"/>
          <w:sz w:val="20"/>
          <w:szCs w:val="20"/>
          <w:lang w:val="en-GB"/>
        </w:rPr>
        <w:t xml:space="preserve"> other steps until the </w:t>
      </w:r>
      <w:r w:rsidR="00464620" w:rsidRPr="009B39EC">
        <w:rPr>
          <w:rFonts w:ascii="Arial" w:hAnsi="Arial" w:cs="Arial"/>
          <w:sz w:val="20"/>
          <w:szCs w:val="20"/>
          <w:lang w:val="en-GB"/>
        </w:rPr>
        <w:t xml:space="preserve">final </w:t>
      </w:r>
      <w:r w:rsidR="00095EFC" w:rsidRPr="009B39EC">
        <w:rPr>
          <w:rFonts w:ascii="Arial" w:hAnsi="Arial" w:cs="Arial"/>
          <w:sz w:val="20"/>
          <w:szCs w:val="20"/>
          <w:lang w:val="en-GB"/>
        </w:rPr>
        <w:t xml:space="preserve">drafting and adoption the GREVIO Baseline Evaluation Report on Albania </w:t>
      </w:r>
      <w:r w:rsidR="00EB58A7" w:rsidRPr="009B39EC">
        <w:rPr>
          <w:rFonts w:ascii="Arial" w:hAnsi="Arial" w:cs="Arial"/>
          <w:sz w:val="20"/>
          <w:szCs w:val="20"/>
          <w:lang w:val="en-GB"/>
        </w:rPr>
        <w:t xml:space="preserve">(12 </w:t>
      </w:r>
      <w:r w:rsidR="00095EFC" w:rsidRPr="009B39EC">
        <w:rPr>
          <w:rFonts w:ascii="Arial" w:hAnsi="Arial" w:cs="Arial"/>
          <w:sz w:val="20"/>
          <w:szCs w:val="20"/>
          <w:lang w:val="en-GB"/>
        </w:rPr>
        <w:t>October</w:t>
      </w:r>
      <w:r w:rsidR="00EB58A7" w:rsidRPr="009B39EC">
        <w:rPr>
          <w:rFonts w:ascii="Arial" w:hAnsi="Arial" w:cs="Arial"/>
          <w:sz w:val="20"/>
          <w:szCs w:val="20"/>
          <w:lang w:val="en-GB"/>
        </w:rPr>
        <w:t xml:space="preserve"> 2017</w:t>
      </w:r>
      <w:r w:rsidR="008B65B8" w:rsidRPr="009B39EC">
        <w:rPr>
          <w:rFonts w:ascii="Arial" w:hAnsi="Arial" w:cs="Arial"/>
          <w:sz w:val="20"/>
          <w:szCs w:val="20"/>
          <w:lang w:val="en-GB"/>
        </w:rPr>
        <w:t xml:space="preserve">, </w:t>
      </w:r>
      <w:r w:rsidR="00095EFC" w:rsidRPr="009B39EC">
        <w:rPr>
          <w:rFonts w:ascii="Arial" w:hAnsi="Arial" w:cs="Arial"/>
          <w:sz w:val="20"/>
          <w:szCs w:val="20"/>
          <w:lang w:val="en-GB"/>
        </w:rPr>
        <w:t xml:space="preserve">published on </w:t>
      </w:r>
      <w:r w:rsidR="008B65B8" w:rsidRPr="009B39EC">
        <w:rPr>
          <w:rFonts w:ascii="Arial" w:hAnsi="Arial" w:cs="Arial"/>
          <w:sz w:val="20"/>
          <w:szCs w:val="20"/>
          <w:lang w:val="en-GB"/>
        </w:rPr>
        <w:t xml:space="preserve">24 </w:t>
      </w:r>
      <w:r w:rsidR="00095EFC" w:rsidRPr="009B39EC">
        <w:rPr>
          <w:rFonts w:ascii="Arial" w:hAnsi="Arial" w:cs="Arial"/>
          <w:sz w:val="20"/>
          <w:szCs w:val="20"/>
          <w:lang w:val="en-GB"/>
        </w:rPr>
        <w:t xml:space="preserve">November </w:t>
      </w:r>
      <w:r w:rsidR="008B65B8" w:rsidRPr="009B39EC">
        <w:rPr>
          <w:rFonts w:ascii="Arial" w:hAnsi="Arial" w:cs="Arial"/>
          <w:sz w:val="20"/>
          <w:szCs w:val="20"/>
          <w:lang w:val="en-GB"/>
        </w:rPr>
        <w:t>2017</w:t>
      </w:r>
      <w:r w:rsidR="00EB58A7" w:rsidRPr="009B39EC">
        <w:rPr>
          <w:rFonts w:ascii="Arial" w:hAnsi="Arial" w:cs="Arial"/>
          <w:sz w:val="20"/>
          <w:szCs w:val="20"/>
          <w:lang w:val="en-GB"/>
        </w:rPr>
        <w:t>)</w:t>
      </w:r>
      <w:r w:rsidR="008B65B8" w:rsidRPr="009B39EC">
        <w:rPr>
          <w:rFonts w:ascii="Arial" w:hAnsi="Arial" w:cs="Arial"/>
          <w:sz w:val="20"/>
          <w:szCs w:val="20"/>
          <w:vertAlign w:val="superscript"/>
          <w:lang w:val="en-GB"/>
        </w:rPr>
        <w:footnoteReference w:id="2"/>
      </w:r>
      <w:r w:rsidR="00EB58A7" w:rsidRPr="009B39EC">
        <w:rPr>
          <w:rFonts w:ascii="Arial" w:hAnsi="Arial" w:cs="Arial"/>
          <w:sz w:val="20"/>
          <w:szCs w:val="20"/>
          <w:lang w:val="en-GB"/>
        </w:rPr>
        <w:t xml:space="preserve">. </w:t>
      </w:r>
      <w:r w:rsidR="00095EFC" w:rsidRPr="009B39EC">
        <w:rPr>
          <w:rFonts w:ascii="Arial" w:hAnsi="Arial" w:cs="Arial"/>
          <w:sz w:val="20"/>
          <w:szCs w:val="20"/>
          <w:lang w:val="en-GB"/>
        </w:rPr>
        <w:t>In its fourth meeting</w:t>
      </w:r>
      <w:r w:rsidR="00EB58A7" w:rsidRPr="009B39EC">
        <w:rPr>
          <w:rFonts w:ascii="Arial" w:hAnsi="Arial" w:cs="Arial"/>
          <w:sz w:val="20"/>
          <w:szCs w:val="20"/>
          <w:lang w:val="en-GB"/>
        </w:rPr>
        <w:t xml:space="preserve"> (</w:t>
      </w:r>
      <w:r w:rsidR="0007313D" w:rsidRPr="009B39EC">
        <w:rPr>
          <w:rFonts w:ascii="Arial" w:hAnsi="Arial" w:cs="Arial"/>
          <w:sz w:val="20"/>
          <w:szCs w:val="20"/>
          <w:lang w:val="en-GB"/>
        </w:rPr>
        <w:t xml:space="preserve">30 </w:t>
      </w:r>
      <w:r w:rsidR="00445CB5" w:rsidRPr="009B39EC">
        <w:rPr>
          <w:rFonts w:ascii="Arial" w:hAnsi="Arial" w:cs="Arial"/>
          <w:sz w:val="20"/>
          <w:szCs w:val="20"/>
          <w:lang w:val="en-GB"/>
        </w:rPr>
        <w:t>January</w:t>
      </w:r>
      <w:r w:rsidR="00EB58A7" w:rsidRPr="009B39EC">
        <w:rPr>
          <w:rFonts w:ascii="Arial" w:hAnsi="Arial" w:cs="Arial"/>
          <w:sz w:val="20"/>
          <w:szCs w:val="20"/>
          <w:lang w:val="en-GB"/>
        </w:rPr>
        <w:t xml:space="preserve"> 2018), </w:t>
      </w:r>
      <w:r w:rsidR="00873EEB" w:rsidRPr="009B39EC">
        <w:rPr>
          <w:rFonts w:ascii="Arial" w:hAnsi="Arial" w:cs="Arial"/>
          <w:sz w:val="20"/>
          <w:szCs w:val="20"/>
          <w:lang w:val="en-GB"/>
        </w:rPr>
        <w:t xml:space="preserve">the Committee of the Parties adopted </w:t>
      </w:r>
      <w:r w:rsidR="00464620" w:rsidRPr="009B39EC">
        <w:rPr>
          <w:rFonts w:ascii="Arial" w:hAnsi="Arial" w:cs="Arial"/>
          <w:sz w:val="20"/>
          <w:szCs w:val="20"/>
          <w:lang w:val="en-GB"/>
        </w:rPr>
        <w:t>a</w:t>
      </w:r>
      <w:r w:rsidR="00873EEB" w:rsidRPr="009B39EC">
        <w:rPr>
          <w:rFonts w:ascii="Arial" w:hAnsi="Arial" w:cs="Arial"/>
          <w:sz w:val="20"/>
          <w:szCs w:val="20"/>
          <w:lang w:val="en-GB"/>
        </w:rPr>
        <w:t xml:space="preserve"> list of recommendations</w:t>
      </w:r>
      <w:r w:rsidR="0007313D" w:rsidRPr="009B39EC">
        <w:rPr>
          <w:rFonts w:ascii="Arial" w:hAnsi="Arial" w:cs="Arial"/>
          <w:sz w:val="20"/>
          <w:szCs w:val="20"/>
          <w:vertAlign w:val="superscript"/>
          <w:lang w:val="en-GB"/>
        </w:rPr>
        <w:footnoteReference w:id="3"/>
      </w:r>
      <w:r w:rsidR="0007313D" w:rsidRPr="009B39EC">
        <w:rPr>
          <w:rFonts w:ascii="Arial" w:hAnsi="Arial" w:cs="Arial"/>
          <w:sz w:val="20"/>
          <w:szCs w:val="20"/>
          <w:lang w:val="en-GB"/>
        </w:rPr>
        <w:t xml:space="preserve"> </w:t>
      </w:r>
      <w:r w:rsidR="00873EEB" w:rsidRPr="009B39EC">
        <w:rPr>
          <w:rFonts w:ascii="Arial" w:hAnsi="Arial" w:cs="Arial"/>
          <w:sz w:val="20"/>
          <w:szCs w:val="20"/>
          <w:lang w:val="en-GB"/>
        </w:rPr>
        <w:t xml:space="preserve">on the implementation of the </w:t>
      </w:r>
      <w:r w:rsidR="00464620" w:rsidRPr="009B39EC">
        <w:rPr>
          <w:rFonts w:ascii="Arial" w:hAnsi="Arial" w:cs="Arial"/>
          <w:sz w:val="20"/>
          <w:szCs w:val="20"/>
          <w:lang w:val="en-GB"/>
        </w:rPr>
        <w:t xml:space="preserve">Istanbul </w:t>
      </w:r>
      <w:r w:rsidR="00873EEB" w:rsidRPr="009B39EC">
        <w:rPr>
          <w:rFonts w:ascii="Arial" w:hAnsi="Arial" w:cs="Arial"/>
          <w:sz w:val="20"/>
          <w:szCs w:val="20"/>
          <w:lang w:val="en-GB"/>
        </w:rPr>
        <w:t xml:space="preserve">Convention by Albania. The present report aims to set out the progress made in </w:t>
      </w:r>
      <w:r w:rsidR="00464620" w:rsidRPr="009B39EC">
        <w:rPr>
          <w:rFonts w:ascii="Arial" w:hAnsi="Arial" w:cs="Arial"/>
          <w:sz w:val="20"/>
          <w:szCs w:val="20"/>
          <w:lang w:val="en-GB"/>
        </w:rPr>
        <w:t>the</w:t>
      </w:r>
      <w:r w:rsidR="00873EEB" w:rsidRPr="009B39EC">
        <w:rPr>
          <w:rFonts w:ascii="Arial" w:hAnsi="Arial" w:cs="Arial"/>
          <w:sz w:val="20"/>
          <w:szCs w:val="20"/>
          <w:lang w:val="en-GB"/>
        </w:rPr>
        <w:t xml:space="preserve"> implementation</w:t>
      </w:r>
      <w:r w:rsidR="00464620" w:rsidRPr="009B39EC">
        <w:rPr>
          <w:rFonts w:ascii="Arial" w:hAnsi="Arial" w:cs="Arial"/>
          <w:sz w:val="20"/>
          <w:szCs w:val="20"/>
          <w:lang w:val="en-GB"/>
        </w:rPr>
        <w:t xml:space="preserve"> of those recommendations</w:t>
      </w:r>
      <w:r w:rsidR="0007313D" w:rsidRPr="009B39EC">
        <w:rPr>
          <w:rFonts w:ascii="Arial" w:hAnsi="Arial" w:cs="Arial"/>
          <w:sz w:val="20"/>
          <w:szCs w:val="20"/>
          <w:lang w:val="en-GB"/>
        </w:rPr>
        <w:t xml:space="preserve">. </w:t>
      </w:r>
    </w:p>
    <w:p w14:paraId="0726ACF0" w14:textId="77777777" w:rsidR="00AC04E7" w:rsidRPr="009B39EC" w:rsidRDefault="00AC04E7" w:rsidP="00C27A21">
      <w:pPr>
        <w:pStyle w:val="NoSpacing"/>
        <w:jc w:val="both"/>
        <w:rPr>
          <w:rFonts w:ascii="Arial" w:hAnsi="Arial" w:cs="Arial"/>
          <w:sz w:val="20"/>
          <w:szCs w:val="20"/>
          <w:lang w:val="en-GB"/>
        </w:rPr>
      </w:pPr>
    </w:p>
    <w:p w14:paraId="102607DB" w14:textId="1A20E445" w:rsidR="00CB417C" w:rsidRPr="009B39EC" w:rsidRDefault="00873EEB" w:rsidP="00C27A21">
      <w:pPr>
        <w:pStyle w:val="NoSpacing"/>
        <w:jc w:val="both"/>
        <w:rPr>
          <w:rFonts w:ascii="Arial" w:hAnsi="Arial" w:cs="Arial"/>
          <w:sz w:val="20"/>
          <w:szCs w:val="20"/>
          <w:lang w:val="en-GB"/>
        </w:rPr>
      </w:pPr>
      <w:r w:rsidRPr="009B39EC">
        <w:rPr>
          <w:rFonts w:ascii="Arial" w:hAnsi="Arial" w:cs="Arial"/>
          <w:sz w:val="20"/>
          <w:szCs w:val="20"/>
          <w:lang w:val="en-GB"/>
        </w:rPr>
        <w:t xml:space="preserve">In accordance with </w:t>
      </w:r>
      <w:r w:rsidR="00464620" w:rsidRPr="009B39EC">
        <w:rPr>
          <w:rFonts w:ascii="Arial" w:hAnsi="Arial" w:cs="Arial"/>
          <w:sz w:val="20"/>
          <w:szCs w:val="20"/>
          <w:lang w:val="en-GB"/>
        </w:rPr>
        <w:t>the</w:t>
      </w:r>
      <w:r w:rsidRPr="009B39EC">
        <w:rPr>
          <w:rFonts w:ascii="Arial" w:hAnsi="Arial" w:cs="Arial"/>
          <w:sz w:val="20"/>
          <w:szCs w:val="20"/>
          <w:lang w:val="en-GB"/>
        </w:rPr>
        <w:t xml:space="preserve"> </w:t>
      </w:r>
      <w:r w:rsidR="00464620" w:rsidRPr="009B39EC">
        <w:rPr>
          <w:rFonts w:ascii="Arial" w:hAnsi="Arial" w:cs="Arial"/>
          <w:sz w:val="20"/>
          <w:szCs w:val="20"/>
          <w:lang w:val="en-GB"/>
        </w:rPr>
        <w:t>instructions provided</w:t>
      </w:r>
      <w:r w:rsidRPr="009B39EC">
        <w:rPr>
          <w:rFonts w:ascii="Arial" w:hAnsi="Arial" w:cs="Arial"/>
          <w:sz w:val="20"/>
          <w:szCs w:val="20"/>
          <w:lang w:val="en-GB"/>
        </w:rPr>
        <w:t xml:space="preserve">, this report covers a three-year </w:t>
      </w:r>
      <w:r w:rsidR="00464620" w:rsidRPr="009B39EC">
        <w:rPr>
          <w:rFonts w:ascii="Arial" w:hAnsi="Arial" w:cs="Arial"/>
          <w:sz w:val="20"/>
          <w:szCs w:val="20"/>
          <w:lang w:val="en-GB"/>
        </w:rPr>
        <w:t xml:space="preserve">period </w:t>
      </w:r>
      <w:r w:rsidR="00BF2C8D" w:rsidRPr="009B39EC">
        <w:rPr>
          <w:rFonts w:ascii="Arial" w:hAnsi="Arial" w:cs="Arial"/>
          <w:sz w:val="20"/>
          <w:szCs w:val="20"/>
          <w:lang w:val="en-GB"/>
        </w:rPr>
        <w:t>(2018-2020)</w:t>
      </w:r>
      <w:r w:rsidRPr="009B39EC">
        <w:rPr>
          <w:rFonts w:ascii="Arial" w:hAnsi="Arial" w:cs="Arial"/>
          <w:sz w:val="20"/>
          <w:szCs w:val="20"/>
          <w:lang w:val="en-GB"/>
        </w:rPr>
        <w:t xml:space="preserve">; however, </w:t>
      </w:r>
      <w:r w:rsidR="00464620" w:rsidRPr="009B39EC">
        <w:rPr>
          <w:rFonts w:ascii="Arial" w:hAnsi="Arial" w:cs="Arial"/>
          <w:sz w:val="20"/>
          <w:szCs w:val="20"/>
          <w:lang w:val="en-GB"/>
        </w:rPr>
        <w:t xml:space="preserve">some </w:t>
      </w:r>
      <w:r w:rsidRPr="009B39EC">
        <w:rPr>
          <w:rFonts w:ascii="Arial" w:hAnsi="Arial" w:cs="Arial"/>
          <w:sz w:val="20"/>
          <w:szCs w:val="20"/>
          <w:lang w:val="en-GB"/>
        </w:rPr>
        <w:t xml:space="preserve">information </w:t>
      </w:r>
      <w:r w:rsidR="00464620" w:rsidRPr="009B39EC">
        <w:rPr>
          <w:rFonts w:ascii="Arial" w:hAnsi="Arial" w:cs="Arial"/>
          <w:sz w:val="20"/>
          <w:szCs w:val="20"/>
          <w:lang w:val="en-GB"/>
        </w:rPr>
        <w:t>on the</w:t>
      </w:r>
      <w:r w:rsidRPr="009B39EC">
        <w:rPr>
          <w:rFonts w:ascii="Arial" w:hAnsi="Arial" w:cs="Arial"/>
          <w:sz w:val="20"/>
          <w:szCs w:val="20"/>
          <w:lang w:val="en-GB"/>
        </w:rPr>
        <w:t xml:space="preserve"> first half of 2021 has also been </w:t>
      </w:r>
      <w:r w:rsidR="005F602C" w:rsidRPr="009B39EC">
        <w:rPr>
          <w:rFonts w:ascii="Arial" w:hAnsi="Arial" w:cs="Arial"/>
          <w:sz w:val="20"/>
          <w:szCs w:val="20"/>
          <w:lang w:val="en-GB"/>
        </w:rPr>
        <w:t>included</w:t>
      </w:r>
      <w:r w:rsidRPr="009B39EC">
        <w:rPr>
          <w:rFonts w:ascii="Arial" w:hAnsi="Arial" w:cs="Arial"/>
          <w:sz w:val="20"/>
          <w:szCs w:val="20"/>
          <w:lang w:val="en-GB"/>
        </w:rPr>
        <w:t xml:space="preserve"> due to the significance </w:t>
      </w:r>
      <w:r w:rsidR="00464620" w:rsidRPr="009B39EC">
        <w:rPr>
          <w:rFonts w:ascii="Arial" w:hAnsi="Arial" w:cs="Arial"/>
          <w:sz w:val="20"/>
          <w:szCs w:val="20"/>
          <w:lang w:val="en-GB"/>
        </w:rPr>
        <w:t>of</w:t>
      </w:r>
      <w:r w:rsidRPr="009B39EC">
        <w:rPr>
          <w:rFonts w:ascii="Arial" w:hAnsi="Arial" w:cs="Arial"/>
          <w:sz w:val="20"/>
          <w:szCs w:val="20"/>
          <w:lang w:val="en-GB"/>
        </w:rPr>
        <w:t xml:space="preserve"> some </w:t>
      </w:r>
      <w:r w:rsidR="005F602C" w:rsidRPr="009B39EC">
        <w:rPr>
          <w:rFonts w:ascii="Arial" w:hAnsi="Arial" w:cs="Arial"/>
          <w:sz w:val="20"/>
          <w:szCs w:val="20"/>
          <w:lang w:val="en-GB"/>
        </w:rPr>
        <w:t xml:space="preserve">recent </w:t>
      </w:r>
      <w:r w:rsidRPr="009B39EC">
        <w:rPr>
          <w:rFonts w:ascii="Arial" w:hAnsi="Arial" w:cs="Arial"/>
          <w:sz w:val="20"/>
          <w:szCs w:val="20"/>
          <w:lang w:val="en-GB"/>
        </w:rPr>
        <w:t xml:space="preserve">developments </w:t>
      </w:r>
      <w:proofErr w:type="gramStart"/>
      <w:r w:rsidR="005F602C" w:rsidRPr="009B39EC">
        <w:rPr>
          <w:rFonts w:ascii="Arial" w:hAnsi="Arial" w:cs="Arial"/>
          <w:sz w:val="20"/>
          <w:szCs w:val="20"/>
          <w:lang w:val="en-GB"/>
        </w:rPr>
        <w:t>with regard to</w:t>
      </w:r>
      <w:proofErr w:type="gramEnd"/>
      <w:r w:rsidR="005F602C" w:rsidRPr="009B39EC">
        <w:rPr>
          <w:rFonts w:ascii="Arial" w:hAnsi="Arial" w:cs="Arial"/>
          <w:sz w:val="20"/>
          <w:szCs w:val="20"/>
          <w:lang w:val="en-GB"/>
        </w:rPr>
        <w:t xml:space="preserve"> </w:t>
      </w:r>
      <w:r w:rsidRPr="009B39EC">
        <w:rPr>
          <w:rFonts w:ascii="Arial" w:hAnsi="Arial" w:cs="Arial"/>
          <w:sz w:val="20"/>
          <w:szCs w:val="20"/>
          <w:lang w:val="en-GB"/>
        </w:rPr>
        <w:t>the implementation of the recommendations issued</w:t>
      </w:r>
      <w:r w:rsidR="00464620" w:rsidRPr="009B39EC">
        <w:rPr>
          <w:rFonts w:ascii="Arial" w:hAnsi="Arial" w:cs="Arial"/>
          <w:sz w:val="20"/>
          <w:szCs w:val="20"/>
          <w:lang w:val="en-GB"/>
        </w:rPr>
        <w:t xml:space="preserve"> in the baseline report</w:t>
      </w:r>
      <w:r w:rsidRPr="009B39EC">
        <w:rPr>
          <w:rFonts w:ascii="Arial" w:hAnsi="Arial" w:cs="Arial"/>
          <w:sz w:val="20"/>
          <w:szCs w:val="20"/>
          <w:lang w:val="en-GB"/>
        </w:rPr>
        <w:t xml:space="preserve">. The </w:t>
      </w:r>
      <w:r w:rsidR="00265108" w:rsidRPr="009B39EC">
        <w:rPr>
          <w:rFonts w:ascii="Arial" w:hAnsi="Arial" w:cs="Arial"/>
          <w:sz w:val="20"/>
          <w:szCs w:val="20"/>
          <w:lang w:val="en-GB"/>
        </w:rPr>
        <w:t xml:space="preserve">reporting follows the standard </w:t>
      </w:r>
      <w:r w:rsidR="00464620" w:rsidRPr="009B39EC">
        <w:rPr>
          <w:rFonts w:ascii="Arial" w:hAnsi="Arial" w:cs="Arial"/>
          <w:sz w:val="20"/>
          <w:szCs w:val="20"/>
          <w:lang w:val="en-GB"/>
        </w:rPr>
        <w:t>template</w:t>
      </w:r>
      <w:r w:rsidR="00265108" w:rsidRPr="009B39EC">
        <w:rPr>
          <w:rFonts w:ascii="Arial" w:hAnsi="Arial" w:cs="Arial"/>
          <w:sz w:val="20"/>
          <w:szCs w:val="20"/>
          <w:lang w:val="en-GB"/>
        </w:rPr>
        <w:t xml:space="preserve"> adopted by the Committee of the Parties</w:t>
      </w:r>
      <w:r w:rsidR="005F602C" w:rsidRPr="009B39EC">
        <w:rPr>
          <w:rFonts w:ascii="Arial" w:hAnsi="Arial" w:cs="Arial"/>
          <w:sz w:val="20"/>
          <w:szCs w:val="20"/>
          <w:lang w:val="en-GB"/>
        </w:rPr>
        <w:t xml:space="preserve"> and focuses</w:t>
      </w:r>
      <w:r w:rsidR="00265108" w:rsidRPr="009B39EC">
        <w:rPr>
          <w:rFonts w:ascii="Arial" w:hAnsi="Arial" w:cs="Arial"/>
          <w:sz w:val="20"/>
          <w:szCs w:val="20"/>
          <w:lang w:val="en-GB"/>
        </w:rPr>
        <w:t xml:space="preserve"> on eight priority areas. </w:t>
      </w:r>
      <w:r w:rsidR="005F602C" w:rsidRPr="009B39EC">
        <w:rPr>
          <w:rFonts w:ascii="Arial" w:hAnsi="Arial" w:cs="Arial"/>
          <w:sz w:val="20"/>
          <w:szCs w:val="20"/>
          <w:lang w:val="en-GB"/>
        </w:rPr>
        <w:t>Also, i</w:t>
      </w:r>
      <w:r w:rsidR="00265108" w:rsidRPr="009B39EC">
        <w:rPr>
          <w:rFonts w:ascii="Arial" w:hAnsi="Arial" w:cs="Arial"/>
          <w:sz w:val="20"/>
          <w:szCs w:val="20"/>
          <w:lang w:val="en-GB"/>
        </w:rPr>
        <w:t>n accordance with the instructions sent out by the Council of Europe on 20 January 2021</w:t>
      </w:r>
      <w:r w:rsidR="008B65B8" w:rsidRPr="009B39EC">
        <w:rPr>
          <w:rFonts w:ascii="Arial" w:hAnsi="Arial" w:cs="Arial"/>
          <w:sz w:val="20"/>
          <w:szCs w:val="20"/>
          <w:vertAlign w:val="superscript"/>
          <w:lang w:val="en-GB"/>
        </w:rPr>
        <w:footnoteReference w:id="4"/>
      </w:r>
      <w:r w:rsidR="001850FB" w:rsidRPr="009B39EC">
        <w:rPr>
          <w:rFonts w:ascii="Arial" w:hAnsi="Arial" w:cs="Arial"/>
          <w:sz w:val="20"/>
          <w:szCs w:val="20"/>
          <w:lang w:val="en-GB"/>
        </w:rPr>
        <w:t>,</w:t>
      </w:r>
      <w:r w:rsidR="00584686" w:rsidRPr="009B39EC">
        <w:rPr>
          <w:rFonts w:ascii="Arial" w:hAnsi="Arial" w:cs="Arial"/>
          <w:sz w:val="20"/>
          <w:szCs w:val="20"/>
          <w:lang w:val="en-GB"/>
        </w:rPr>
        <w:t xml:space="preserve"> </w:t>
      </w:r>
      <w:r w:rsidR="00265108" w:rsidRPr="009B39EC">
        <w:rPr>
          <w:rFonts w:ascii="Arial" w:hAnsi="Arial" w:cs="Arial"/>
          <w:sz w:val="20"/>
          <w:szCs w:val="20"/>
          <w:lang w:val="en-GB"/>
        </w:rPr>
        <w:t xml:space="preserve">the Albanian </w:t>
      </w:r>
      <w:r w:rsidR="00A65624" w:rsidRPr="009B39EC">
        <w:rPr>
          <w:rFonts w:ascii="Arial" w:hAnsi="Arial" w:cs="Arial"/>
          <w:sz w:val="20"/>
          <w:szCs w:val="20"/>
          <w:lang w:val="en-GB"/>
        </w:rPr>
        <w:t xml:space="preserve">Government </w:t>
      </w:r>
      <w:r w:rsidR="00265108" w:rsidRPr="009B39EC">
        <w:rPr>
          <w:rFonts w:ascii="Arial" w:hAnsi="Arial" w:cs="Arial"/>
          <w:sz w:val="20"/>
          <w:szCs w:val="20"/>
          <w:lang w:val="en-GB"/>
        </w:rPr>
        <w:t xml:space="preserve">has not provided answers to questions </w:t>
      </w:r>
      <w:bookmarkStart w:id="2" w:name="_Hlk74702336"/>
      <w:r w:rsidR="00E23401" w:rsidRPr="009B39EC">
        <w:rPr>
          <w:rFonts w:ascii="Arial" w:hAnsi="Arial" w:cs="Arial"/>
          <w:sz w:val="20"/>
          <w:szCs w:val="20"/>
          <w:lang w:val="en-GB"/>
        </w:rPr>
        <w:t xml:space="preserve">1 </w:t>
      </w:r>
      <w:r w:rsidR="00265108" w:rsidRPr="009B39EC">
        <w:rPr>
          <w:rFonts w:ascii="Arial" w:hAnsi="Arial" w:cs="Arial"/>
          <w:sz w:val="20"/>
          <w:szCs w:val="20"/>
          <w:lang w:val="en-GB"/>
        </w:rPr>
        <w:t>to</w:t>
      </w:r>
      <w:r w:rsidR="00E23401" w:rsidRPr="009B39EC">
        <w:rPr>
          <w:rFonts w:ascii="Arial" w:hAnsi="Arial" w:cs="Arial"/>
          <w:sz w:val="20"/>
          <w:szCs w:val="20"/>
          <w:lang w:val="en-GB"/>
        </w:rPr>
        <w:t xml:space="preserve"> 7.2</w:t>
      </w:r>
      <w:r w:rsidR="00265108" w:rsidRPr="009B39EC">
        <w:rPr>
          <w:rFonts w:ascii="Arial" w:hAnsi="Arial" w:cs="Arial"/>
          <w:sz w:val="20"/>
          <w:szCs w:val="20"/>
          <w:lang w:val="en-GB"/>
        </w:rPr>
        <w:t xml:space="preserve"> and</w:t>
      </w:r>
      <w:r w:rsidR="00E23401" w:rsidRPr="009B39EC">
        <w:rPr>
          <w:rFonts w:ascii="Arial" w:hAnsi="Arial" w:cs="Arial"/>
          <w:sz w:val="20"/>
          <w:szCs w:val="20"/>
          <w:lang w:val="en-GB"/>
        </w:rPr>
        <w:t xml:space="preserve"> 17 </w:t>
      </w:r>
      <w:r w:rsidR="00D66369" w:rsidRPr="009B39EC">
        <w:rPr>
          <w:rFonts w:ascii="Arial" w:hAnsi="Arial" w:cs="Arial"/>
          <w:sz w:val="20"/>
          <w:szCs w:val="20"/>
          <w:lang w:val="en-GB"/>
        </w:rPr>
        <w:t xml:space="preserve">to </w:t>
      </w:r>
      <w:r w:rsidR="00E23401" w:rsidRPr="009B39EC">
        <w:rPr>
          <w:rFonts w:ascii="Arial" w:hAnsi="Arial" w:cs="Arial"/>
          <w:sz w:val="20"/>
          <w:szCs w:val="20"/>
          <w:lang w:val="en-GB"/>
        </w:rPr>
        <w:t>17.2</w:t>
      </w:r>
      <w:r w:rsidR="000C794E" w:rsidRPr="009B39EC">
        <w:rPr>
          <w:rFonts w:ascii="Arial" w:hAnsi="Arial" w:cs="Arial"/>
          <w:sz w:val="20"/>
          <w:szCs w:val="20"/>
          <w:lang w:val="en-GB"/>
        </w:rPr>
        <w:t>,</w:t>
      </w:r>
      <w:r w:rsidR="00E23401" w:rsidRPr="009B39EC">
        <w:rPr>
          <w:rFonts w:ascii="Arial" w:hAnsi="Arial" w:cs="Arial"/>
          <w:sz w:val="20"/>
          <w:szCs w:val="20"/>
          <w:lang w:val="en-GB"/>
        </w:rPr>
        <w:t xml:space="preserve"> </w:t>
      </w:r>
      <w:r w:rsidR="00265108" w:rsidRPr="009B39EC">
        <w:rPr>
          <w:rFonts w:ascii="Arial" w:hAnsi="Arial" w:cs="Arial"/>
          <w:sz w:val="20"/>
          <w:szCs w:val="20"/>
          <w:lang w:val="en-GB"/>
        </w:rPr>
        <w:t>question</w:t>
      </w:r>
      <w:r w:rsidR="00E23401" w:rsidRPr="009B39EC">
        <w:rPr>
          <w:rFonts w:ascii="Arial" w:hAnsi="Arial" w:cs="Arial"/>
          <w:sz w:val="20"/>
          <w:szCs w:val="20"/>
          <w:lang w:val="en-GB"/>
        </w:rPr>
        <w:t xml:space="preserve"> 20</w:t>
      </w:r>
      <w:r w:rsidR="000C794E" w:rsidRPr="009B39EC">
        <w:rPr>
          <w:rFonts w:ascii="Arial" w:hAnsi="Arial" w:cs="Arial"/>
          <w:sz w:val="20"/>
          <w:szCs w:val="20"/>
          <w:lang w:val="en-GB"/>
        </w:rPr>
        <w:t>,</w:t>
      </w:r>
      <w:r w:rsidR="00E23401" w:rsidRPr="009B39EC">
        <w:rPr>
          <w:rFonts w:ascii="Arial" w:hAnsi="Arial" w:cs="Arial"/>
          <w:sz w:val="20"/>
          <w:szCs w:val="20"/>
          <w:lang w:val="en-GB"/>
        </w:rPr>
        <w:t xml:space="preserve"> </w:t>
      </w:r>
      <w:r w:rsidR="00265108" w:rsidRPr="009B39EC">
        <w:rPr>
          <w:rFonts w:ascii="Arial" w:hAnsi="Arial" w:cs="Arial"/>
          <w:sz w:val="20"/>
          <w:szCs w:val="20"/>
          <w:lang w:val="en-GB"/>
        </w:rPr>
        <w:t>questions</w:t>
      </w:r>
      <w:r w:rsidR="00E23401" w:rsidRPr="009B39EC">
        <w:rPr>
          <w:rFonts w:ascii="Arial" w:hAnsi="Arial" w:cs="Arial"/>
          <w:sz w:val="20"/>
          <w:szCs w:val="20"/>
          <w:lang w:val="en-GB"/>
        </w:rPr>
        <w:t xml:space="preserve"> 25 </w:t>
      </w:r>
      <w:r w:rsidR="00265108" w:rsidRPr="009B39EC">
        <w:rPr>
          <w:rFonts w:ascii="Arial" w:hAnsi="Arial" w:cs="Arial"/>
          <w:sz w:val="20"/>
          <w:szCs w:val="20"/>
          <w:lang w:val="en-GB"/>
        </w:rPr>
        <w:t>to</w:t>
      </w:r>
      <w:r w:rsidR="00E23401" w:rsidRPr="009B39EC">
        <w:rPr>
          <w:rFonts w:ascii="Arial" w:hAnsi="Arial" w:cs="Arial"/>
          <w:sz w:val="20"/>
          <w:szCs w:val="20"/>
          <w:lang w:val="en-GB"/>
        </w:rPr>
        <w:t xml:space="preserve"> 27; </w:t>
      </w:r>
      <w:r w:rsidR="00265108" w:rsidRPr="009B39EC">
        <w:rPr>
          <w:rFonts w:ascii="Arial" w:hAnsi="Arial" w:cs="Arial"/>
          <w:sz w:val="20"/>
          <w:szCs w:val="20"/>
          <w:lang w:val="en-GB"/>
        </w:rPr>
        <w:t xml:space="preserve">and questions </w:t>
      </w:r>
      <w:r w:rsidR="00E23401" w:rsidRPr="009B39EC">
        <w:rPr>
          <w:rFonts w:ascii="Arial" w:hAnsi="Arial" w:cs="Arial"/>
          <w:sz w:val="20"/>
          <w:szCs w:val="20"/>
          <w:lang w:val="en-GB"/>
        </w:rPr>
        <w:t xml:space="preserve">28 </w:t>
      </w:r>
      <w:r w:rsidR="00265108" w:rsidRPr="009B39EC">
        <w:rPr>
          <w:rFonts w:ascii="Arial" w:hAnsi="Arial" w:cs="Arial"/>
          <w:sz w:val="20"/>
          <w:szCs w:val="20"/>
          <w:lang w:val="en-GB"/>
        </w:rPr>
        <w:t>to</w:t>
      </w:r>
      <w:r w:rsidR="00E23401" w:rsidRPr="009B39EC">
        <w:rPr>
          <w:rFonts w:ascii="Arial" w:hAnsi="Arial" w:cs="Arial"/>
          <w:sz w:val="20"/>
          <w:szCs w:val="20"/>
          <w:lang w:val="en-GB"/>
        </w:rPr>
        <w:t xml:space="preserve"> 28.3</w:t>
      </w:r>
      <w:bookmarkEnd w:id="2"/>
      <w:r w:rsidR="001850FB" w:rsidRPr="009B39EC">
        <w:rPr>
          <w:rFonts w:ascii="Arial" w:hAnsi="Arial" w:cs="Arial"/>
          <w:sz w:val="20"/>
          <w:szCs w:val="20"/>
          <w:lang w:val="en-GB"/>
        </w:rPr>
        <w:t xml:space="preserve"> </w:t>
      </w:r>
      <w:r w:rsidR="00265108" w:rsidRPr="009B39EC">
        <w:rPr>
          <w:rFonts w:ascii="Arial" w:hAnsi="Arial" w:cs="Arial"/>
          <w:sz w:val="20"/>
          <w:szCs w:val="20"/>
          <w:lang w:val="en-GB"/>
        </w:rPr>
        <w:t>of the standard questionnaire</w:t>
      </w:r>
      <w:r w:rsidR="00E23401" w:rsidRPr="009B39EC">
        <w:rPr>
          <w:rFonts w:ascii="Arial" w:hAnsi="Arial" w:cs="Arial"/>
          <w:sz w:val="20"/>
          <w:szCs w:val="20"/>
          <w:lang w:val="en-GB"/>
        </w:rPr>
        <w:t xml:space="preserve">. </w:t>
      </w:r>
      <w:r w:rsidR="00265108" w:rsidRPr="009B39EC">
        <w:rPr>
          <w:rFonts w:ascii="Arial" w:hAnsi="Arial" w:cs="Arial"/>
          <w:sz w:val="20"/>
          <w:szCs w:val="20"/>
          <w:lang w:val="en-GB"/>
        </w:rPr>
        <w:t>The Annexes are an important component of the report</w:t>
      </w:r>
      <w:r w:rsidR="005F602C" w:rsidRPr="009B39EC">
        <w:rPr>
          <w:rFonts w:ascii="Arial" w:hAnsi="Arial" w:cs="Arial"/>
          <w:sz w:val="20"/>
          <w:szCs w:val="20"/>
          <w:lang w:val="en-GB"/>
        </w:rPr>
        <w:t>; they</w:t>
      </w:r>
      <w:r w:rsidR="00265108" w:rsidRPr="009B39EC">
        <w:rPr>
          <w:rFonts w:ascii="Arial" w:hAnsi="Arial" w:cs="Arial"/>
          <w:sz w:val="20"/>
          <w:szCs w:val="20"/>
          <w:lang w:val="en-GB"/>
        </w:rPr>
        <w:t xml:space="preserve"> provid</w:t>
      </w:r>
      <w:r w:rsidR="005F602C" w:rsidRPr="009B39EC">
        <w:rPr>
          <w:rFonts w:ascii="Arial" w:hAnsi="Arial" w:cs="Arial"/>
          <w:sz w:val="20"/>
          <w:szCs w:val="20"/>
          <w:lang w:val="en-GB"/>
        </w:rPr>
        <w:t>e</w:t>
      </w:r>
      <w:r w:rsidR="00265108" w:rsidRPr="009B39EC">
        <w:rPr>
          <w:rFonts w:ascii="Arial" w:hAnsi="Arial" w:cs="Arial"/>
          <w:sz w:val="20"/>
          <w:szCs w:val="20"/>
          <w:lang w:val="en-GB"/>
        </w:rPr>
        <w:t xml:space="preserve"> more detailed information on the measures taken for the implementation of the recommendations</w:t>
      </w:r>
      <w:r w:rsidR="009C7BA9" w:rsidRPr="009B39EC">
        <w:rPr>
          <w:rFonts w:ascii="Arial" w:hAnsi="Arial" w:cs="Arial"/>
          <w:sz w:val="20"/>
          <w:szCs w:val="20"/>
          <w:lang w:val="en-GB"/>
        </w:rPr>
        <w:t xml:space="preserve"> </w:t>
      </w:r>
      <w:r w:rsidR="00963437" w:rsidRPr="009B39EC">
        <w:rPr>
          <w:rFonts w:ascii="Arial" w:hAnsi="Arial" w:cs="Arial"/>
          <w:sz w:val="20"/>
          <w:szCs w:val="20"/>
          <w:lang w:val="en-GB"/>
        </w:rPr>
        <w:t xml:space="preserve">for urgent action </w:t>
      </w:r>
      <w:r w:rsidR="00150FE2" w:rsidRPr="009B39EC">
        <w:rPr>
          <w:rFonts w:ascii="Arial" w:hAnsi="Arial" w:cs="Arial"/>
          <w:sz w:val="20"/>
          <w:szCs w:val="20"/>
          <w:lang w:val="en-GB"/>
        </w:rPr>
        <w:t xml:space="preserve">as well as </w:t>
      </w:r>
      <w:r w:rsidR="005F602C" w:rsidRPr="009B39EC">
        <w:rPr>
          <w:rFonts w:ascii="Arial" w:hAnsi="Arial" w:cs="Arial"/>
          <w:sz w:val="20"/>
          <w:szCs w:val="20"/>
          <w:lang w:val="en-GB"/>
        </w:rPr>
        <w:t xml:space="preserve">some </w:t>
      </w:r>
      <w:r w:rsidR="00150FE2" w:rsidRPr="009B39EC">
        <w:rPr>
          <w:rFonts w:ascii="Arial" w:hAnsi="Arial" w:cs="Arial"/>
          <w:sz w:val="20"/>
          <w:szCs w:val="20"/>
          <w:lang w:val="en-GB"/>
        </w:rPr>
        <w:t>statistic</w:t>
      </w:r>
      <w:r w:rsidR="005F602C" w:rsidRPr="009B39EC">
        <w:rPr>
          <w:rFonts w:ascii="Arial" w:hAnsi="Arial" w:cs="Arial"/>
          <w:sz w:val="20"/>
          <w:szCs w:val="20"/>
          <w:lang w:val="en-GB"/>
        </w:rPr>
        <w:t>al data</w:t>
      </w:r>
      <w:r w:rsidR="00150FE2" w:rsidRPr="009B39EC">
        <w:rPr>
          <w:rFonts w:ascii="Arial" w:hAnsi="Arial" w:cs="Arial"/>
          <w:sz w:val="20"/>
          <w:szCs w:val="20"/>
          <w:lang w:val="en-GB"/>
        </w:rPr>
        <w:t xml:space="preserve"> </w:t>
      </w:r>
      <w:r w:rsidR="00963437" w:rsidRPr="009B39EC">
        <w:rPr>
          <w:rFonts w:ascii="Arial" w:hAnsi="Arial" w:cs="Arial"/>
          <w:sz w:val="20"/>
          <w:szCs w:val="20"/>
          <w:lang w:val="en-GB"/>
        </w:rPr>
        <w:t xml:space="preserve">supplementing </w:t>
      </w:r>
      <w:r w:rsidR="00150FE2" w:rsidRPr="009B39EC">
        <w:rPr>
          <w:rFonts w:ascii="Arial" w:hAnsi="Arial" w:cs="Arial"/>
          <w:sz w:val="20"/>
          <w:szCs w:val="20"/>
          <w:lang w:val="en-GB"/>
        </w:rPr>
        <w:t xml:space="preserve">the information provided </w:t>
      </w:r>
      <w:r w:rsidR="00963437" w:rsidRPr="009B39EC">
        <w:rPr>
          <w:rFonts w:ascii="Arial" w:hAnsi="Arial" w:cs="Arial"/>
          <w:sz w:val="20"/>
          <w:szCs w:val="20"/>
          <w:lang w:val="en-GB"/>
        </w:rPr>
        <w:t>with</w:t>
      </w:r>
      <w:r w:rsidR="00150FE2" w:rsidRPr="009B39EC">
        <w:rPr>
          <w:rFonts w:ascii="Arial" w:hAnsi="Arial" w:cs="Arial"/>
          <w:sz w:val="20"/>
          <w:szCs w:val="20"/>
          <w:lang w:val="en-GB"/>
        </w:rPr>
        <w:t xml:space="preserve">in the standard </w:t>
      </w:r>
      <w:r w:rsidR="005F602C" w:rsidRPr="009B39EC">
        <w:rPr>
          <w:rFonts w:ascii="Arial" w:hAnsi="Arial" w:cs="Arial"/>
          <w:sz w:val="20"/>
          <w:szCs w:val="20"/>
          <w:lang w:val="en-GB"/>
        </w:rPr>
        <w:t>template</w:t>
      </w:r>
      <w:r w:rsidR="009C7BA9" w:rsidRPr="009B39EC">
        <w:rPr>
          <w:rFonts w:ascii="Arial" w:hAnsi="Arial" w:cs="Arial"/>
          <w:sz w:val="20"/>
          <w:szCs w:val="20"/>
          <w:lang w:val="en-GB"/>
        </w:rPr>
        <w:t xml:space="preserve">. </w:t>
      </w:r>
    </w:p>
    <w:p w14:paraId="23B0964E" w14:textId="77777777" w:rsidR="00C82C2C" w:rsidRPr="009B39EC" w:rsidRDefault="00C82C2C" w:rsidP="00C27A21">
      <w:pPr>
        <w:pStyle w:val="NoSpacing"/>
        <w:jc w:val="both"/>
        <w:rPr>
          <w:rFonts w:ascii="Arial" w:hAnsi="Arial" w:cs="Arial"/>
          <w:sz w:val="20"/>
          <w:szCs w:val="20"/>
          <w:lang w:val="en-GB"/>
        </w:rPr>
      </w:pPr>
    </w:p>
    <w:p w14:paraId="3C495F68" w14:textId="28D6FA16" w:rsidR="00C82C2C" w:rsidRPr="009B39EC" w:rsidRDefault="00150FE2" w:rsidP="00C27A21">
      <w:pPr>
        <w:pStyle w:val="NoSpacing"/>
        <w:jc w:val="both"/>
        <w:rPr>
          <w:rFonts w:ascii="Arial" w:hAnsi="Arial" w:cs="Arial"/>
          <w:sz w:val="20"/>
          <w:szCs w:val="20"/>
          <w:lang w:val="en-GB"/>
        </w:rPr>
      </w:pPr>
      <w:r w:rsidRPr="009B39EC">
        <w:rPr>
          <w:rFonts w:ascii="Arial" w:hAnsi="Arial" w:cs="Arial"/>
          <w:sz w:val="20"/>
          <w:szCs w:val="20"/>
          <w:lang w:val="en-GB"/>
        </w:rPr>
        <w:t xml:space="preserve">The present report was prepared by the Ministry of Health and Social Protection on behalf of the Government of Albania, following a comprehensive consultation process </w:t>
      </w:r>
      <w:r w:rsidR="00963437" w:rsidRPr="009B39EC">
        <w:rPr>
          <w:rFonts w:ascii="Arial" w:hAnsi="Arial" w:cs="Arial"/>
          <w:sz w:val="20"/>
          <w:szCs w:val="20"/>
          <w:lang w:val="en-GB"/>
        </w:rPr>
        <w:t>with</w:t>
      </w:r>
      <w:r w:rsidRPr="009B39EC">
        <w:rPr>
          <w:rFonts w:ascii="Arial" w:hAnsi="Arial" w:cs="Arial"/>
          <w:sz w:val="20"/>
          <w:szCs w:val="20"/>
          <w:lang w:val="en-GB"/>
        </w:rPr>
        <w:t xml:space="preserve"> key line ministries, local </w:t>
      </w:r>
      <w:r w:rsidR="00846A69" w:rsidRPr="009B39EC">
        <w:rPr>
          <w:rFonts w:ascii="Arial" w:hAnsi="Arial" w:cs="Arial"/>
          <w:sz w:val="20"/>
          <w:szCs w:val="20"/>
          <w:lang w:val="en-GB"/>
        </w:rPr>
        <w:t>self-government</w:t>
      </w:r>
      <w:r w:rsidRPr="009B39EC">
        <w:rPr>
          <w:rFonts w:ascii="Arial" w:hAnsi="Arial" w:cs="Arial"/>
          <w:sz w:val="20"/>
          <w:szCs w:val="20"/>
          <w:lang w:val="en-GB"/>
        </w:rPr>
        <w:t xml:space="preserve"> </w:t>
      </w:r>
      <w:r w:rsidR="00963437" w:rsidRPr="009B39EC">
        <w:rPr>
          <w:rFonts w:ascii="Arial" w:hAnsi="Arial" w:cs="Arial"/>
          <w:sz w:val="20"/>
          <w:szCs w:val="20"/>
          <w:lang w:val="en-GB"/>
        </w:rPr>
        <w:t>units</w:t>
      </w:r>
      <w:r w:rsidRPr="009B39EC">
        <w:rPr>
          <w:rFonts w:ascii="Arial" w:hAnsi="Arial" w:cs="Arial"/>
          <w:sz w:val="20"/>
          <w:szCs w:val="20"/>
          <w:lang w:val="en-GB"/>
        </w:rPr>
        <w:t xml:space="preserve"> and independent institutions. In addition, the information provided </w:t>
      </w:r>
      <w:r w:rsidR="00963437" w:rsidRPr="009B39EC">
        <w:rPr>
          <w:rFonts w:ascii="Arial" w:hAnsi="Arial" w:cs="Arial"/>
          <w:sz w:val="20"/>
          <w:szCs w:val="20"/>
          <w:lang w:val="en-GB"/>
        </w:rPr>
        <w:t xml:space="preserve">here </w:t>
      </w:r>
      <w:r w:rsidR="00753977" w:rsidRPr="009B39EC">
        <w:rPr>
          <w:rFonts w:ascii="Arial" w:hAnsi="Arial" w:cs="Arial"/>
          <w:sz w:val="20"/>
          <w:szCs w:val="20"/>
          <w:lang w:val="en-GB"/>
        </w:rPr>
        <w:t>includes</w:t>
      </w:r>
      <w:r w:rsidRPr="009B39EC">
        <w:rPr>
          <w:rFonts w:ascii="Arial" w:hAnsi="Arial" w:cs="Arial"/>
          <w:sz w:val="20"/>
          <w:szCs w:val="20"/>
          <w:lang w:val="en-GB"/>
        </w:rPr>
        <w:t xml:space="preserve"> </w:t>
      </w:r>
      <w:r w:rsidR="00963437" w:rsidRPr="009B39EC">
        <w:rPr>
          <w:rFonts w:ascii="Arial" w:hAnsi="Arial" w:cs="Arial"/>
          <w:sz w:val="20"/>
          <w:szCs w:val="20"/>
          <w:lang w:val="en-GB"/>
        </w:rPr>
        <w:t xml:space="preserve">the </w:t>
      </w:r>
      <w:r w:rsidRPr="009B39EC">
        <w:rPr>
          <w:rFonts w:ascii="Arial" w:hAnsi="Arial" w:cs="Arial"/>
          <w:sz w:val="20"/>
          <w:szCs w:val="20"/>
          <w:lang w:val="en-GB"/>
        </w:rPr>
        <w:t xml:space="preserve">contributions </w:t>
      </w:r>
      <w:r w:rsidR="00963437" w:rsidRPr="009B39EC">
        <w:rPr>
          <w:rFonts w:ascii="Arial" w:hAnsi="Arial" w:cs="Arial"/>
          <w:sz w:val="20"/>
          <w:szCs w:val="20"/>
          <w:lang w:val="en-GB"/>
        </w:rPr>
        <w:t>of</w:t>
      </w:r>
      <w:r w:rsidRPr="009B39EC">
        <w:rPr>
          <w:rFonts w:ascii="Arial" w:hAnsi="Arial" w:cs="Arial"/>
          <w:sz w:val="20"/>
          <w:szCs w:val="20"/>
          <w:lang w:val="en-GB"/>
        </w:rPr>
        <w:t xml:space="preserve"> civil society organisations, academia, the </w:t>
      </w:r>
      <w:proofErr w:type="gramStart"/>
      <w:r w:rsidRPr="009B39EC">
        <w:rPr>
          <w:rFonts w:ascii="Arial" w:hAnsi="Arial" w:cs="Arial"/>
          <w:sz w:val="20"/>
          <w:szCs w:val="20"/>
          <w:lang w:val="en-GB"/>
        </w:rPr>
        <w:t>media</w:t>
      </w:r>
      <w:proofErr w:type="gramEnd"/>
      <w:r w:rsidRPr="009B39EC">
        <w:rPr>
          <w:rFonts w:ascii="Arial" w:hAnsi="Arial" w:cs="Arial"/>
          <w:sz w:val="20"/>
          <w:szCs w:val="20"/>
          <w:lang w:val="en-GB"/>
        </w:rPr>
        <w:t xml:space="preserve"> and international organisations</w:t>
      </w:r>
      <w:r w:rsidR="00963437" w:rsidRPr="009B39EC">
        <w:rPr>
          <w:rFonts w:ascii="Arial" w:hAnsi="Arial" w:cs="Arial"/>
          <w:sz w:val="20"/>
          <w:szCs w:val="20"/>
          <w:lang w:val="en-GB"/>
        </w:rPr>
        <w:t xml:space="preserve">, which were </w:t>
      </w:r>
      <w:r w:rsidR="00753977" w:rsidRPr="009B39EC">
        <w:rPr>
          <w:rFonts w:ascii="Arial" w:hAnsi="Arial" w:cs="Arial"/>
          <w:sz w:val="20"/>
          <w:szCs w:val="20"/>
          <w:lang w:val="en-GB"/>
        </w:rPr>
        <w:t xml:space="preserve">presented in online </w:t>
      </w:r>
      <w:r w:rsidR="00963437" w:rsidRPr="009B39EC">
        <w:rPr>
          <w:rFonts w:ascii="Arial" w:hAnsi="Arial" w:cs="Arial"/>
          <w:sz w:val="20"/>
          <w:szCs w:val="20"/>
          <w:lang w:val="en-GB"/>
        </w:rPr>
        <w:t xml:space="preserve">consultative </w:t>
      </w:r>
      <w:r w:rsidR="00753977" w:rsidRPr="009B39EC">
        <w:rPr>
          <w:rFonts w:ascii="Arial" w:hAnsi="Arial" w:cs="Arial"/>
          <w:sz w:val="20"/>
          <w:szCs w:val="20"/>
          <w:lang w:val="en-GB"/>
        </w:rPr>
        <w:t>roundtables</w:t>
      </w:r>
      <w:r w:rsidR="00C82C2C" w:rsidRPr="009B39EC">
        <w:rPr>
          <w:rFonts w:ascii="Arial" w:hAnsi="Arial" w:cs="Arial"/>
          <w:sz w:val="20"/>
          <w:szCs w:val="20"/>
          <w:vertAlign w:val="superscript"/>
          <w:lang w:val="en-GB"/>
        </w:rPr>
        <w:footnoteReference w:id="5"/>
      </w:r>
      <w:r w:rsidR="00C82C2C" w:rsidRPr="009B39EC">
        <w:rPr>
          <w:rFonts w:ascii="Arial" w:hAnsi="Arial" w:cs="Arial"/>
          <w:sz w:val="20"/>
          <w:szCs w:val="20"/>
          <w:lang w:val="en-GB"/>
        </w:rPr>
        <w:t xml:space="preserve"> </w:t>
      </w:r>
      <w:r w:rsidR="00753977" w:rsidRPr="009B39EC">
        <w:rPr>
          <w:rFonts w:ascii="Arial" w:hAnsi="Arial" w:cs="Arial"/>
          <w:sz w:val="20"/>
          <w:szCs w:val="20"/>
          <w:lang w:val="en-GB"/>
        </w:rPr>
        <w:t>part of the parallel processes aimed at improving the legal framework and key policies on preventing and combatting violence against women and domestic violence</w:t>
      </w:r>
      <w:r w:rsidR="00C82C2C" w:rsidRPr="009B39EC">
        <w:rPr>
          <w:rFonts w:ascii="Arial" w:hAnsi="Arial" w:cs="Arial"/>
          <w:sz w:val="20"/>
          <w:szCs w:val="20"/>
          <w:lang w:val="en-GB"/>
        </w:rPr>
        <w:t xml:space="preserve">.  </w:t>
      </w:r>
    </w:p>
    <w:p w14:paraId="0EF0811B" w14:textId="7AA4FAB6" w:rsidR="001850FB" w:rsidRPr="009B39EC" w:rsidRDefault="001850FB" w:rsidP="00C27A21">
      <w:pPr>
        <w:pStyle w:val="NoSpacing"/>
        <w:jc w:val="both"/>
        <w:rPr>
          <w:rFonts w:ascii="Arial" w:hAnsi="Arial" w:cs="Arial"/>
          <w:sz w:val="20"/>
          <w:szCs w:val="20"/>
          <w:lang w:val="en-GB"/>
        </w:rPr>
      </w:pPr>
    </w:p>
    <w:p w14:paraId="48093BF2" w14:textId="433A1C42" w:rsidR="001850FB" w:rsidRPr="009B39EC" w:rsidRDefault="00753977" w:rsidP="00C27A21">
      <w:pPr>
        <w:pStyle w:val="NoSpacing"/>
        <w:jc w:val="both"/>
        <w:rPr>
          <w:rFonts w:ascii="Arial" w:hAnsi="Arial" w:cs="Arial"/>
          <w:sz w:val="20"/>
          <w:szCs w:val="20"/>
          <w:lang w:val="en-GB"/>
        </w:rPr>
      </w:pPr>
      <w:r w:rsidRPr="009B39EC">
        <w:rPr>
          <w:rFonts w:ascii="Arial" w:hAnsi="Arial" w:cs="Arial"/>
          <w:sz w:val="20"/>
          <w:szCs w:val="20"/>
          <w:lang w:val="en-GB"/>
        </w:rPr>
        <w:t xml:space="preserve">In the period between </w:t>
      </w:r>
      <w:r w:rsidR="0035775B" w:rsidRPr="009B39EC">
        <w:rPr>
          <w:rFonts w:ascii="Arial" w:hAnsi="Arial" w:cs="Arial"/>
          <w:sz w:val="20"/>
          <w:szCs w:val="20"/>
          <w:lang w:val="en-GB"/>
        </w:rPr>
        <w:t>2018</w:t>
      </w:r>
      <w:r w:rsidR="00D909B7" w:rsidRPr="009B39EC">
        <w:rPr>
          <w:rFonts w:ascii="Arial" w:hAnsi="Arial" w:cs="Arial"/>
          <w:sz w:val="20"/>
          <w:szCs w:val="20"/>
          <w:lang w:val="en-GB"/>
        </w:rPr>
        <w:t xml:space="preserve"> </w:t>
      </w:r>
      <w:r w:rsidRPr="009B39EC">
        <w:rPr>
          <w:rFonts w:ascii="Arial" w:hAnsi="Arial" w:cs="Arial"/>
          <w:sz w:val="20"/>
          <w:szCs w:val="20"/>
          <w:lang w:val="en-GB"/>
        </w:rPr>
        <w:t>and</w:t>
      </w:r>
      <w:r w:rsidR="00D909B7" w:rsidRPr="009B39EC">
        <w:rPr>
          <w:rFonts w:ascii="Arial" w:hAnsi="Arial" w:cs="Arial"/>
          <w:sz w:val="20"/>
          <w:szCs w:val="20"/>
          <w:lang w:val="en-GB"/>
        </w:rPr>
        <w:t xml:space="preserve"> </w:t>
      </w:r>
      <w:r w:rsidR="0035775B" w:rsidRPr="009B39EC">
        <w:rPr>
          <w:rFonts w:ascii="Arial" w:hAnsi="Arial" w:cs="Arial"/>
          <w:sz w:val="20"/>
          <w:szCs w:val="20"/>
          <w:lang w:val="en-GB"/>
        </w:rPr>
        <w:t xml:space="preserve">2020, </w:t>
      </w:r>
      <w:r w:rsidRPr="009B39EC">
        <w:rPr>
          <w:rFonts w:ascii="Arial" w:hAnsi="Arial" w:cs="Arial"/>
          <w:sz w:val="20"/>
          <w:szCs w:val="20"/>
          <w:lang w:val="en-GB"/>
        </w:rPr>
        <w:t>Albania held local elections</w:t>
      </w:r>
      <w:r w:rsidR="0035775B" w:rsidRPr="009B39EC">
        <w:rPr>
          <w:rFonts w:ascii="Arial" w:hAnsi="Arial" w:cs="Arial"/>
          <w:sz w:val="20"/>
          <w:szCs w:val="20"/>
          <w:lang w:val="en-GB"/>
        </w:rPr>
        <w:t xml:space="preserve"> (</w:t>
      </w:r>
      <w:r w:rsidRPr="009B39EC">
        <w:rPr>
          <w:rFonts w:ascii="Arial" w:hAnsi="Arial" w:cs="Arial"/>
          <w:sz w:val="20"/>
          <w:szCs w:val="20"/>
          <w:lang w:val="en-GB"/>
        </w:rPr>
        <w:t xml:space="preserve">in </w:t>
      </w:r>
      <w:r w:rsidR="0035775B" w:rsidRPr="009B39EC">
        <w:rPr>
          <w:rFonts w:ascii="Arial" w:hAnsi="Arial" w:cs="Arial"/>
          <w:sz w:val="20"/>
          <w:szCs w:val="20"/>
          <w:lang w:val="en-GB"/>
        </w:rPr>
        <w:t>2019)</w:t>
      </w:r>
      <w:r w:rsidRPr="009B39EC">
        <w:rPr>
          <w:rFonts w:ascii="Arial" w:hAnsi="Arial" w:cs="Arial"/>
          <w:sz w:val="20"/>
          <w:szCs w:val="20"/>
          <w:lang w:val="en-GB"/>
        </w:rPr>
        <w:t xml:space="preserve"> and the </w:t>
      </w:r>
      <w:r w:rsidR="00D60473" w:rsidRPr="009B39EC">
        <w:rPr>
          <w:rFonts w:ascii="Arial" w:hAnsi="Arial" w:cs="Arial"/>
          <w:sz w:val="20"/>
          <w:szCs w:val="20"/>
          <w:lang w:val="en-GB"/>
        </w:rPr>
        <w:t xml:space="preserve">related </w:t>
      </w:r>
      <w:r w:rsidRPr="009B39EC">
        <w:rPr>
          <w:rFonts w:ascii="Arial" w:hAnsi="Arial" w:cs="Arial"/>
          <w:sz w:val="20"/>
          <w:szCs w:val="20"/>
          <w:lang w:val="en-GB"/>
        </w:rPr>
        <w:t xml:space="preserve">political </w:t>
      </w:r>
      <w:r w:rsidR="00E132A5" w:rsidRPr="009B39EC">
        <w:rPr>
          <w:rFonts w:ascii="Arial" w:hAnsi="Arial" w:cs="Arial"/>
          <w:sz w:val="20"/>
          <w:szCs w:val="20"/>
          <w:lang w:val="en-GB"/>
        </w:rPr>
        <w:t xml:space="preserve">electoral </w:t>
      </w:r>
      <w:r w:rsidRPr="009B39EC">
        <w:rPr>
          <w:rFonts w:ascii="Arial" w:hAnsi="Arial" w:cs="Arial"/>
          <w:sz w:val="20"/>
          <w:szCs w:val="20"/>
          <w:lang w:val="en-GB"/>
        </w:rPr>
        <w:t>processes and development</w:t>
      </w:r>
      <w:r w:rsidR="00D60473" w:rsidRPr="009B39EC">
        <w:rPr>
          <w:rFonts w:ascii="Arial" w:hAnsi="Arial" w:cs="Arial"/>
          <w:sz w:val="20"/>
          <w:szCs w:val="20"/>
          <w:lang w:val="en-GB"/>
        </w:rPr>
        <w:t>s</w:t>
      </w:r>
      <w:r w:rsidRPr="009B39EC">
        <w:rPr>
          <w:rFonts w:ascii="Arial" w:hAnsi="Arial" w:cs="Arial"/>
          <w:sz w:val="20"/>
          <w:szCs w:val="20"/>
          <w:lang w:val="en-GB"/>
        </w:rPr>
        <w:t xml:space="preserve"> </w:t>
      </w:r>
      <w:r w:rsidR="00D60473" w:rsidRPr="009B39EC">
        <w:rPr>
          <w:rFonts w:ascii="Arial" w:hAnsi="Arial" w:cs="Arial"/>
          <w:sz w:val="20"/>
          <w:szCs w:val="20"/>
          <w:lang w:val="en-GB"/>
        </w:rPr>
        <w:t>resulted in</w:t>
      </w:r>
      <w:r w:rsidRPr="009B39EC">
        <w:rPr>
          <w:rFonts w:ascii="Arial" w:hAnsi="Arial" w:cs="Arial"/>
          <w:sz w:val="20"/>
          <w:szCs w:val="20"/>
          <w:lang w:val="en-GB"/>
        </w:rPr>
        <w:t xml:space="preserve"> the election of mayors. </w:t>
      </w:r>
      <w:r w:rsidR="00D60473" w:rsidRPr="009B39EC">
        <w:rPr>
          <w:rFonts w:ascii="Arial" w:hAnsi="Arial" w:cs="Arial"/>
          <w:sz w:val="20"/>
          <w:szCs w:val="20"/>
          <w:lang w:val="en-GB"/>
        </w:rPr>
        <w:t xml:space="preserve">While </w:t>
      </w:r>
      <w:r w:rsidR="00EA3C58" w:rsidRPr="009B39EC">
        <w:rPr>
          <w:rFonts w:ascii="Arial" w:hAnsi="Arial" w:cs="Arial"/>
          <w:sz w:val="20"/>
          <w:szCs w:val="20"/>
          <w:lang w:val="en-GB"/>
        </w:rPr>
        <w:t xml:space="preserve">this report was being </w:t>
      </w:r>
      <w:r w:rsidR="00D60473" w:rsidRPr="009B39EC">
        <w:rPr>
          <w:rFonts w:ascii="Arial" w:hAnsi="Arial" w:cs="Arial"/>
          <w:sz w:val="20"/>
          <w:szCs w:val="20"/>
          <w:lang w:val="en-GB"/>
        </w:rPr>
        <w:lastRenderedPageBreak/>
        <w:t>prepared,</w:t>
      </w:r>
      <w:r w:rsidR="00EA3C58" w:rsidRPr="009B39EC">
        <w:rPr>
          <w:rFonts w:ascii="Arial" w:hAnsi="Arial" w:cs="Arial"/>
          <w:sz w:val="20"/>
          <w:szCs w:val="20"/>
          <w:lang w:val="en-GB"/>
        </w:rPr>
        <w:t xml:space="preserve"> Albania also held its general elections </w:t>
      </w:r>
      <w:r w:rsidR="0035775B" w:rsidRPr="009B39EC">
        <w:rPr>
          <w:rFonts w:ascii="Arial" w:hAnsi="Arial" w:cs="Arial"/>
          <w:sz w:val="20"/>
          <w:szCs w:val="20"/>
          <w:lang w:val="en-GB"/>
        </w:rPr>
        <w:t>(</w:t>
      </w:r>
      <w:r w:rsidR="00D60473" w:rsidRPr="009B39EC">
        <w:rPr>
          <w:rFonts w:ascii="Arial" w:hAnsi="Arial" w:cs="Arial"/>
          <w:sz w:val="20"/>
          <w:szCs w:val="20"/>
          <w:lang w:val="en-GB"/>
        </w:rPr>
        <w:t xml:space="preserve">in </w:t>
      </w:r>
      <w:r w:rsidR="00EA3C58" w:rsidRPr="009B39EC">
        <w:rPr>
          <w:rFonts w:ascii="Arial" w:hAnsi="Arial" w:cs="Arial"/>
          <w:sz w:val="20"/>
          <w:szCs w:val="20"/>
          <w:lang w:val="en-GB"/>
        </w:rPr>
        <w:t>April</w:t>
      </w:r>
      <w:r w:rsidR="00D60473" w:rsidRPr="009B39EC">
        <w:rPr>
          <w:rFonts w:ascii="Arial" w:hAnsi="Arial" w:cs="Arial"/>
          <w:sz w:val="20"/>
          <w:szCs w:val="20"/>
          <w:lang w:val="en-GB"/>
        </w:rPr>
        <w:t xml:space="preserve"> 2</w:t>
      </w:r>
      <w:r w:rsidR="0035775B" w:rsidRPr="009B39EC">
        <w:rPr>
          <w:rFonts w:ascii="Arial" w:hAnsi="Arial" w:cs="Arial"/>
          <w:sz w:val="20"/>
          <w:szCs w:val="20"/>
          <w:lang w:val="en-GB"/>
        </w:rPr>
        <w:t>021</w:t>
      </w:r>
      <w:r w:rsidR="00EA3C58" w:rsidRPr="009B39EC">
        <w:rPr>
          <w:rFonts w:ascii="Arial" w:hAnsi="Arial" w:cs="Arial"/>
          <w:sz w:val="20"/>
          <w:szCs w:val="20"/>
          <w:lang w:val="en-GB"/>
        </w:rPr>
        <w:t xml:space="preserve">) which confirmed </w:t>
      </w:r>
      <w:r w:rsidR="00D60473" w:rsidRPr="009B39EC">
        <w:rPr>
          <w:rFonts w:ascii="Arial" w:hAnsi="Arial" w:cs="Arial"/>
          <w:sz w:val="20"/>
          <w:szCs w:val="20"/>
          <w:lang w:val="en-GB"/>
        </w:rPr>
        <w:t>a</w:t>
      </w:r>
      <w:r w:rsidR="00EA3C58" w:rsidRPr="009B39EC">
        <w:rPr>
          <w:rFonts w:ascii="Arial" w:hAnsi="Arial" w:cs="Arial"/>
          <w:sz w:val="20"/>
          <w:szCs w:val="20"/>
          <w:lang w:val="en-GB"/>
        </w:rPr>
        <w:t xml:space="preserve"> third governing mandate </w:t>
      </w:r>
      <w:r w:rsidR="00D60473" w:rsidRPr="009B39EC">
        <w:rPr>
          <w:rFonts w:ascii="Arial" w:hAnsi="Arial" w:cs="Arial"/>
          <w:sz w:val="20"/>
          <w:szCs w:val="20"/>
          <w:lang w:val="en-GB"/>
        </w:rPr>
        <w:t xml:space="preserve">for </w:t>
      </w:r>
      <w:r w:rsidR="00EA3C58" w:rsidRPr="009B39EC">
        <w:rPr>
          <w:rFonts w:ascii="Arial" w:hAnsi="Arial" w:cs="Arial"/>
          <w:sz w:val="20"/>
          <w:szCs w:val="20"/>
          <w:lang w:val="en-GB"/>
        </w:rPr>
        <w:t>the Socialist Party</w:t>
      </w:r>
      <w:r w:rsidR="0035775B" w:rsidRPr="009B39EC">
        <w:rPr>
          <w:rFonts w:ascii="Arial" w:hAnsi="Arial" w:cs="Arial"/>
          <w:sz w:val="20"/>
          <w:szCs w:val="20"/>
          <w:lang w:val="en-GB"/>
        </w:rPr>
        <w:t xml:space="preserve">. </w:t>
      </w:r>
      <w:r w:rsidR="00EA3C58" w:rsidRPr="009B39EC">
        <w:rPr>
          <w:rFonts w:ascii="Arial" w:hAnsi="Arial" w:cs="Arial"/>
          <w:sz w:val="20"/>
          <w:szCs w:val="20"/>
          <w:lang w:val="en-GB"/>
        </w:rPr>
        <w:t xml:space="preserve">The civil </w:t>
      </w:r>
      <w:proofErr w:type="gramStart"/>
      <w:r w:rsidR="00EA3C58" w:rsidRPr="009B39EC">
        <w:rPr>
          <w:rFonts w:ascii="Arial" w:hAnsi="Arial" w:cs="Arial"/>
          <w:sz w:val="20"/>
          <w:szCs w:val="20"/>
          <w:lang w:val="en-GB"/>
        </w:rPr>
        <w:t>emergency</w:t>
      </w:r>
      <w:r w:rsidR="00D60473" w:rsidRPr="009B39EC">
        <w:rPr>
          <w:rFonts w:ascii="Arial" w:hAnsi="Arial" w:cs="Arial"/>
          <w:sz w:val="20"/>
          <w:szCs w:val="20"/>
          <w:lang w:val="en-GB"/>
        </w:rPr>
        <w:t xml:space="preserve"> situation</w:t>
      </w:r>
      <w:proofErr w:type="gramEnd"/>
      <w:r w:rsidR="00EA3C58" w:rsidRPr="009B39EC">
        <w:rPr>
          <w:rFonts w:ascii="Arial" w:hAnsi="Arial" w:cs="Arial"/>
          <w:sz w:val="20"/>
          <w:szCs w:val="20"/>
          <w:lang w:val="en-GB"/>
        </w:rPr>
        <w:t xml:space="preserve"> caused by the </w:t>
      </w:r>
      <w:r w:rsidR="00D60473" w:rsidRPr="009B39EC">
        <w:rPr>
          <w:rFonts w:ascii="Arial" w:hAnsi="Arial" w:cs="Arial"/>
          <w:sz w:val="20"/>
          <w:szCs w:val="20"/>
          <w:lang w:val="en-GB"/>
        </w:rPr>
        <w:t xml:space="preserve">powerful </w:t>
      </w:r>
      <w:r w:rsidR="00EA3C58" w:rsidRPr="009B39EC">
        <w:rPr>
          <w:rFonts w:ascii="Arial" w:hAnsi="Arial" w:cs="Arial"/>
          <w:sz w:val="20"/>
          <w:szCs w:val="20"/>
          <w:lang w:val="en-GB"/>
        </w:rPr>
        <w:t>earthquake</w:t>
      </w:r>
      <w:r w:rsidR="00D60473" w:rsidRPr="009B39EC">
        <w:rPr>
          <w:rFonts w:ascii="Arial" w:hAnsi="Arial" w:cs="Arial"/>
          <w:sz w:val="20"/>
          <w:szCs w:val="20"/>
          <w:lang w:val="en-GB"/>
        </w:rPr>
        <w:t xml:space="preserve"> (November 2019)</w:t>
      </w:r>
      <w:r w:rsidR="00EA3C58" w:rsidRPr="009B39EC">
        <w:rPr>
          <w:rFonts w:ascii="Arial" w:hAnsi="Arial" w:cs="Arial"/>
          <w:sz w:val="20"/>
          <w:szCs w:val="20"/>
          <w:lang w:val="en-GB"/>
        </w:rPr>
        <w:t xml:space="preserve"> and the considerable damage </w:t>
      </w:r>
      <w:r w:rsidR="00D60473" w:rsidRPr="009B39EC">
        <w:rPr>
          <w:rFonts w:ascii="Arial" w:hAnsi="Arial" w:cs="Arial"/>
          <w:sz w:val="20"/>
          <w:szCs w:val="20"/>
          <w:lang w:val="en-GB"/>
        </w:rPr>
        <w:t>caused</w:t>
      </w:r>
      <w:r w:rsidR="00EA3C58" w:rsidRPr="009B39EC">
        <w:rPr>
          <w:rFonts w:ascii="Arial" w:hAnsi="Arial" w:cs="Arial"/>
          <w:sz w:val="20"/>
          <w:szCs w:val="20"/>
          <w:lang w:val="en-GB"/>
        </w:rPr>
        <w:t xml:space="preserve"> </w:t>
      </w:r>
      <w:r w:rsidR="00D60473" w:rsidRPr="009B39EC">
        <w:rPr>
          <w:rFonts w:ascii="Arial" w:hAnsi="Arial" w:cs="Arial"/>
          <w:sz w:val="20"/>
          <w:szCs w:val="20"/>
          <w:lang w:val="en-GB"/>
        </w:rPr>
        <w:t>by it in</w:t>
      </w:r>
      <w:r w:rsidR="00EA3C58" w:rsidRPr="009B39EC">
        <w:rPr>
          <w:rFonts w:ascii="Arial" w:hAnsi="Arial" w:cs="Arial"/>
          <w:sz w:val="20"/>
          <w:szCs w:val="20"/>
          <w:lang w:val="en-GB"/>
        </w:rPr>
        <w:t xml:space="preserve"> several areas of the country</w:t>
      </w:r>
      <w:r w:rsidR="0035775B" w:rsidRPr="009B39EC">
        <w:rPr>
          <w:rFonts w:ascii="Arial" w:hAnsi="Arial" w:cs="Arial"/>
          <w:sz w:val="20"/>
          <w:szCs w:val="20"/>
          <w:lang w:val="en-GB"/>
        </w:rPr>
        <w:t xml:space="preserve">, </w:t>
      </w:r>
      <w:r w:rsidR="00D60473" w:rsidRPr="009B39EC">
        <w:rPr>
          <w:rFonts w:ascii="Arial" w:hAnsi="Arial" w:cs="Arial"/>
          <w:sz w:val="20"/>
          <w:szCs w:val="20"/>
          <w:lang w:val="en-GB"/>
        </w:rPr>
        <w:t xml:space="preserve">as well as the </w:t>
      </w:r>
      <w:r w:rsidR="00E132A5" w:rsidRPr="009B39EC">
        <w:rPr>
          <w:rFonts w:ascii="Arial" w:hAnsi="Arial" w:cs="Arial"/>
          <w:sz w:val="20"/>
          <w:szCs w:val="20"/>
          <w:lang w:val="en-GB"/>
        </w:rPr>
        <w:t>public health emergency</w:t>
      </w:r>
      <w:r w:rsidR="00EA3C58" w:rsidRPr="009B39EC">
        <w:rPr>
          <w:rFonts w:ascii="Arial" w:hAnsi="Arial" w:cs="Arial"/>
          <w:sz w:val="20"/>
          <w:szCs w:val="20"/>
          <w:lang w:val="en-GB"/>
        </w:rPr>
        <w:t xml:space="preserve"> caused by the </w:t>
      </w:r>
      <w:r w:rsidR="0035775B" w:rsidRPr="009B39EC">
        <w:rPr>
          <w:rFonts w:ascii="Arial" w:hAnsi="Arial" w:cs="Arial"/>
          <w:sz w:val="20"/>
          <w:szCs w:val="20"/>
          <w:lang w:val="en-GB"/>
        </w:rPr>
        <w:t xml:space="preserve">COVID-19 </w:t>
      </w:r>
      <w:r w:rsidR="00EA3C58" w:rsidRPr="009B39EC">
        <w:rPr>
          <w:rFonts w:ascii="Arial" w:hAnsi="Arial" w:cs="Arial"/>
          <w:sz w:val="20"/>
          <w:szCs w:val="20"/>
          <w:lang w:val="en-GB"/>
        </w:rPr>
        <w:t>pandemic</w:t>
      </w:r>
      <w:r w:rsidR="00D60473" w:rsidRPr="009B39EC">
        <w:rPr>
          <w:rFonts w:ascii="Arial" w:hAnsi="Arial" w:cs="Arial"/>
          <w:sz w:val="20"/>
          <w:szCs w:val="20"/>
          <w:lang w:val="en-GB"/>
        </w:rPr>
        <w:t>,</w:t>
      </w:r>
      <w:r w:rsidR="00EA3C58" w:rsidRPr="009B39EC">
        <w:rPr>
          <w:rFonts w:ascii="Arial" w:hAnsi="Arial" w:cs="Arial"/>
          <w:sz w:val="20"/>
          <w:szCs w:val="20"/>
          <w:lang w:val="en-GB"/>
        </w:rPr>
        <w:t xml:space="preserve"> dictated a reorganisation and reallocation of resources </w:t>
      </w:r>
      <w:r w:rsidR="00D60473" w:rsidRPr="009B39EC">
        <w:rPr>
          <w:rFonts w:ascii="Arial" w:hAnsi="Arial" w:cs="Arial"/>
          <w:sz w:val="20"/>
          <w:szCs w:val="20"/>
          <w:lang w:val="en-GB"/>
        </w:rPr>
        <w:t xml:space="preserve">in order to </w:t>
      </w:r>
      <w:r w:rsidR="00EA3C58" w:rsidRPr="009B39EC">
        <w:rPr>
          <w:rFonts w:ascii="Arial" w:hAnsi="Arial" w:cs="Arial"/>
          <w:sz w:val="20"/>
          <w:szCs w:val="20"/>
          <w:lang w:val="en-GB"/>
        </w:rPr>
        <w:t>prompt</w:t>
      </w:r>
      <w:r w:rsidR="00D60473" w:rsidRPr="009B39EC">
        <w:rPr>
          <w:rFonts w:ascii="Arial" w:hAnsi="Arial" w:cs="Arial"/>
          <w:sz w:val="20"/>
          <w:szCs w:val="20"/>
          <w:lang w:val="en-GB"/>
        </w:rPr>
        <w:t xml:space="preserve">ly </w:t>
      </w:r>
      <w:r w:rsidR="00EA3C58" w:rsidRPr="009B39EC">
        <w:rPr>
          <w:rFonts w:ascii="Arial" w:hAnsi="Arial" w:cs="Arial"/>
          <w:sz w:val="20"/>
          <w:szCs w:val="20"/>
          <w:lang w:val="en-GB"/>
        </w:rPr>
        <w:t>respon</w:t>
      </w:r>
      <w:r w:rsidR="00D60473" w:rsidRPr="009B39EC">
        <w:rPr>
          <w:rFonts w:ascii="Arial" w:hAnsi="Arial" w:cs="Arial"/>
          <w:sz w:val="20"/>
          <w:szCs w:val="20"/>
          <w:lang w:val="en-GB"/>
        </w:rPr>
        <w:t xml:space="preserve">d to these situations </w:t>
      </w:r>
      <w:r w:rsidR="00831BCE" w:rsidRPr="009B39EC">
        <w:rPr>
          <w:rFonts w:ascii="Arial" w:hAnsi="Arial" w:cs="Arial"/>
          <w:sz w:val="20"/>
          <w:szCs w:val="20"/>
          <w:lang w:val="en-GB"/>
        </w:rPr>
        <w:t xml:space="preserve">in an effort to </w:t>
      </w:r>
      <w:r w:rsidR="00D60473" w:rsidRPr="009B39EC">
        <w:rPr>
          <w:rFonts w:ascii="Arial" w:hAnsi="Arial" w:cs="Arial"/>
          <w:sz w:val="20"/>
          <w:szCs w:val="20"/>
          <w:lang w:val="en-GB"/>
        </w:rPr>
        <w:t>mitigate the consequences</w:t>
      </w:r>
      <w:r w:rsidR="007B5B28" w:rsidRPr="009B39EC">
        <w:rPr>
          <w:rFonts w:ascii="Arial" w:hAnsi="Arial" w:cs="Arial"/>
          <w:sz w:val="20"/>
          <w:szCs w:val="20"/>
          <w:lang w:val="en-GB"/>
        </w:rPr>
        <w:t xml:space="preserve"> thereof</w:t>
      </w:r>
      <w:r w:rsidR="00EA3C58" w:rsidRPr="009B39EC">
        <w:rPr>
          <w:rFonts w:ascii="Arial" w:hAnsi="Arial" w:cs="Arial"/>
          <w:sz w:val="20"/>
          <w:szCs w:val="20"/>
          <w:lang w:val="en-GB"/>
        </w:rPr>
        <w:t xml:space="preserve">. </w:t>
      </w:r>
      <w:r w:rsidR="00831BCE" w:rsidRPr="009B39EC">
        <w:rPr>
          <w:rFonts w:ascii="Arial" w:hAnsi="Arial" w:cs="Arial"/>
          <w:sz w:val="20"/>
          <w:szCs w:val="20"/>
          <w:lang w:val="en-GB"/>
        </w:rPr>
        <w:t>Nevertheless</w:t>
      </w:r>
      <w:r w:rsidR="00EA3C58" w:rsidRPr="009B39EC">
        <w:rPr>
          <w:rFonts w:ascii="Arial" w:hAnsi="Arial" w:cs="Arial"/>
          <w:sz w:val="20"/>
          <w:szCs w:val="20"/>
          <w:lang w:val="en-GB"/>
        </w:rPr>
        <w:t xml:space="preserve">, the fight against violence against women and domestic violence </w:t>
      </w:r>
      <w:r w:rsidR="007B5B28" w:rsidRPr="009B39EC">
        <w:rPr>
          <w:rFonts w:ascii="Arial" w:hAnsi="Arial" w:cs="Arial"/>
          <w:sz w:val="20"/>
          <w:szCs w:val="20"/>
          <w:lang w:val="en-GB"/>
        </w:rPr>
        <w:t xml:space="preserve">remained a priority of the Government of Albania and special attention was paid to </w:t>
      </w:r>
      <w:r w:rsidR="00831BCE" w:rsidRPr="009B39EC">
        <w:rPr>
          <w:rFonts w:ascii="Arial" w:hAnsi="Arial" w:cs="Arial"/>
          <w:sz w:val="20"/>
          <w:szCs w:val="20"/>
          <w:lang w:val="en-GB"/>
        </w:rPr>
        <w:t>ensuring</w:t>
      </w:r>
      <w:r w:rsidR="007B5B28" w:rsidRPr="009B39EC">
        <w:rPr>
          <w:rFonts w:ascii="Arial" w:hAnsi="Arial" w:cs="Arial"/>
          <w:sz w:val="20"/>
          <w:szCs w:val="20"/>
          <w:lang w:val="en-GB"/>
        </w:rPr>
        <w:t xml:space="preserve"> </w:t>
      </w:r>
      <w:r w:rsidR="00831BCE" w:rsidRPr="009B39EC">
        <w:rPr>
          <w:rFonts w:ascii="Arial" w:hAnsi="Arial" w:cs="Arial"/>
          <w:sz w:val="20"/>
          <w:szCs w:val="20"/>
          <w:lang w:val="en-GB"/>
        </w:rPr>
        <w:t xml:space="preserve">the </w:t>
      </w:r>
      <w:r w:rsidR="007B5B28" w:rsidRPr="009B39EC">
        <w:rPr>
          <w:rFonts w:ascii="Arial" w:hAnsi="Arial" w:cs="Arial"/>
          <w:sz w:val="20"/>
          <w:szCs w:val="20"/>
          <w:lang w:val="en-GB"/>
        </w:rPr>
        <w:t xml:space="preserve">safety and </w:t>
      </w:r>
      <w:r w:rsidR="00831BCE" w:rsidRPr="009B39EC">
        <w:rPr>
          <w:rFonts w:ascii="Arial" w:hAnsi="Arial" w:cs="Arial"/>
          <w:sz w:val="20"/>
          <w:szCs w:val="20"/>
          <w:lang w:val="en-GB"/>
        </w:rPr>
        <w:t xml:space="preserve">providing </w:t>
      </w:r>
      <w:r w:rsidR="007B5B28" w:rsidRPr="009B39EC">
        <w:rPr>
          <w:rFonts w:ascii="Arial" w:hAnsi="Arial" w:cs="Arial"/>
          <w:sz w:val="20"/>
          <w:szCs w:val="20"/>
          <w:lang w:val="en-GB"/>
        </w:rPr>
        <w:t xml:space="preserve">support to women and girls from vulnerable groups even </w:t>
      </w:r>
      <w:r w:rsidR="00831BCE" w:rsidRPr="009B39EC">
        <w:rPr>
          <w:rFonts w:ascii="Arial" w:hAnsi="Arial" w:cs="Arial"/>
          <w:sz w:val="20"/>
          <w:szCs w:val="20"/>
          <w:lang w:val="en-GB"/>
        </w:rPr>
        <w:t>as the country was grappling with these</w:t>
      </w:r>
      <w:r w:rsidR="007B5B28" w:rsidRPr="009B39EC">
        <w:rPr>
          <w:rFonts w:ascii="Arial" w:hAnsi="Arial" w:cs="Arial"/>
          <w:sz w:val="20"/>
          <w:szCs w:val="20"/>
          <w:lang w:val="en-GB"/>
        </w:rPr>
        <w:t xml:space="preserve"> emergency situations</w:t>
      </w:r>
      <w:r w:rsidR="0035775B" w:rsidRPr="009B39EC">
        <w:rPr>
          <w:rFonts w:ascii="Arial" w:hAnsi="Arial" w:cs="Arial"/>
          <w:sz w:val="20"/>
          <w:szCs w:val="20"/>
          <w:lang w:val="en-GB"/>
        </w:rPr>
        <w:t>.</w:t>
      </w:r>
    </w:p>
    <w:p w14:paraId="771E3869" w14:textId="77777777" w:rsidR="00C82C2C" w:rsidRPr="009B39EC" w:rsidRDefault="00C82C2C" w:rsidP="00C27A21">
      <w:pPr>
        <w:pStyle w:val="NoSpacing"/>
        <w:jc w:val="both"/>
        <w:rPr>
          <w:rFonts w:ascii="Arial" w:hAnsi="Arial" w:cs="Arial"/>
          <w:sz w:val="20"/>
          <w:szCs w:val="20"/>
          <w:lang w:val="en-GB"/>
        </w:rPr>
      </w:pPr>
    </w:p>
    <w:p w14:paraId="600A0B31" w14:textId="379A7A98" w:rsidR="00EF6B5D" w:rsidRPr="009B39EC" w:rsidRDefault="00E37180" w:rsidP="00C27A21">
      <w:pPr>
        <w:pStyle w:val="NoSpacing"/>
        <w:jc w:val="both"/>
        <w:rPr>
          <w:rFonts w:ascii="Arial" w:hAnsi="Arial" w:cs="Arial"/>
          <w:sz w:val="20"/>
          <w:szCs w:val="20"/>
          <w:lang w:val="en-GB"/>
        </w:rPr>
      </w:pPr>
      <w:r w:rsidRPr="009B39EC">
        <w:rPr>
          <w:rFonts w:ascii="Arial" w:hAnsi="Arial" w:cs="Arial"/>
          <w:sz w:val="20"/>
          <w:szCs w:val="20"/>
          <w:lang w:val="en-GB"/>
        </w:rPr>
        <w:t>The a</w:t>
      </w:r>
      <w:r w:rsidR="00831BCE" w:rsidRPr="009B39EC">
        <w:rPr>
          <w:rFonts w:ascii="Arial" w:hAnsi="Arial" w:cs="Arial"/>
          <w:sz w:val="20"/>
          <w:szCs w:val="20"/>
          <w:lang w:val="en-GB"/>
        </w:rPr>
        <w:t xml:space="preserve">chievements and </w:t>
      </w:r>
      <w:r w:rsidR="007B5B28" w:rsidRPr="009B39EC">
        <w:rPr>
          <w:rFonts w:ascii="Arial" w:hAnsi="Arial" w:cs="Arial"/>
          <w:sz w:val="20"/>
          <w:szCs w:val="20"/>
          <w:lang w:val="en-GB"/>
        </w:rPr>
        <w:t>progress identified in this report</w:t>
      </w:r>
      <w:r w:rsidRPr="009B39EC">
        <w:rPr>
          <w:rFonts w:ascii="Arial" w:hAnsi="Arial" w:cs="Arial"/>
          <w:sz w:val="20"/>
          <w:szCs w:val="20"/>
          <w:lang w:val="en-GB"/>
        </w:rPr>
        <w:t xml:space="preserve"> notwithstanding</w:t>
      </w:r>
      <w:r w:rsidR="007B5B28" w:rsidRPr="009B39EC">
        <w:rPr>
          <w:rFonts w:ascii="Arial" w:hAnsi="Arial" w:cs="Arial"/>
          <w:sz w:val="20"/>
          <w:szCs w:val="20"/>
          <w:lang w:val="en-GB"/>
        </w:rPr>
        <w:t xml:space="preserve">, the Albanian authorities remain committed to continue with the fulfilment of obligations deriving from the Istanbul Convention and other international </w:t>
      </w:r>
      <w:r w:rsidRPr="009B39EC">
        <w:rPr>
          <w:rFonts w:ascii="Arial" w:hAnsi="Arial" w:cs="Arial"/>
          <w:sz w:val="20"/>
          <w:szCs w:val="20"/>
          <w:lang w:val="en-GB"/>
        </w:rPr>
        <w:t>human rights instruments</w:t>
      </w:r>
      <w:r w:rsidR="00C82C2C" w:rsidRPr="009B39EC">
        <w:rPr>
          <w:rFonts w:ascii="Arial" w:hAnsi="Arial" w:cs="Arial"/>
          <w:sz w:val="20"/>
          <w:szCs w:val="20"/>
          <w:lang w:val="en-GB"/>
        </w:rPr>
        <w:t>.</w:t>
      </w:r>
    </w:p>
    <w:p w14:paraId="39419993" w14:textId="77777777" w:rsidR="00CB417C" w:rsidRPr="009B39EC" w:rsidRDefault="00CB417C" w:rsidP="00C27A21">
      <w:pPr>
        <w:pStyle w:val="NoSpacing"/>
        <w:jc w:val="both"/>
        <w:rPr>
          <w:rFonts w:ascii="Arial" w:hAnsi="Arial" w:cs="Arial"/>
          <w:b/>
          <w:bCs/>
          <w:sz w:val="20"/>
          <w:szCs w:val="20"/>
          <w:lang w:val="en-GB"/>
        </w:rPr>
      </w:pPr>
    </w:p>
    <w:p w14:paraId="3CC6D733" w14:textId="77777777" w:rsidR="00CB417C" w:rsidRPr="009B39EC" w:rsidRDefault="00CB417C" w:rsidP="00C27A21">
      <w:pPr>
        <w:pStyle w:val="NoSpacing"/>
        <w:jc w:val="both"/>
        <w:rPr>
          <w:rFonts w:ascii="Arial" w:hAnsi="Arial" w:cs="Arial"/>
          <w:sz w:val="20"/>
          <w:szCs w:val="20"/>
          <w:lang w:val="en-GB"/>
        </w:rPr>
      </w:pPr>
    </w:p>
    <w:p w14:paraId="08D9C8B7" w14:textId="568EC9EE" w:rsidR="00636220" w:rsidRPr="009B39EC" w:rsidRDefault="00636220" w:rsidP="00C27A21">
      <w:pPr>
        <w:spacing w:after="0" w:line="240" w:lineRule="auto"/>
        <w:rPr>
          <w:rFonts w:ascii="Arial" w:hAnsi="Arial" w:cs="Arial"/>
          <w:b/>
          <w:bCs/>
          <w:color w:val="000000"/>
          <w:sz w:val="20"/>
          <w:szCs w:val="20"/>
          <w:u w:color="000000"/>
          <w:lang w:val="en-GB" w:eastAsia="en-GB"/>
          <w14:textOutline w14:w="0" w14:cap="flat" w14:cmpd="sng" w14:algn="ctr">
            <w14:noFill/>
            <w14:prstDash w14:val="solid"/>
            <w14:bevel/>
          </w14:textOutline>
        </w:rPr>
      </w:pPr>
    </w:p>
    <w:p w14:paraId="3EE595BD" w14:textId="08AE4B2E" w:rsidR="001175B3" w:rsidRPr="009B39EC" w:rsidRDefault="001175B3" w:rsidP="00636220">
      <w:pPr>
        <w:spacing w:after="200" w:line="276" w:lineRule="auto"/>
        <w:rPr>
          <w:rFonts w:ascii="Arial" w:hAnsi="Arial" w:cs="Arial"/>
          <w:b/>
          <w:bCs/>
          <w:color w:val="000000"/>
          <w:sz w:val="20"/>
          <w:szCs w:val="20"/>
          <w:u w:color="000000"/>
          <w:lang w:val="en-GB" w:eastAsia="en-GB"/>
          <w14:textOutline w14:w="0" w14:cap="flat" w14:cmpd="sng" w14:algn="ctr">
            <w14:noFill/>
            <w14:prstDash w14:val="solid"/>
            <w14:bevel/>
          </w14:textOutline>
        </w:rPr>
      </w:pPr>
    </w:p>
    <w:p w14:paraId="25A07160" w14:textId="77777777" w:rsidR="001175B3" w:rsidRPr="009B39EC" w:rsidRDefault="001175B3" w:rsidP="00636220">
      <w:pPr>
        <w:spacing w:after="200" w:line="276" w:lineRule="auto"/>
        <w:rPr>
          <w:rFonts w:ascii="Arial" w:hAnsi="Arial" w:cs="Arial"/>
          <w:b/>
          <w:bCs/>
          <w:color w:val="000000"/>
          <w:sz w:val="20"/>
          <w:szCs w:val="20"/>
          <w:u w:color="000000"/>
          <w:lang w:val="en-GB" w:eastAsia="en-GB"/>
          <w14:textOutline w14:w="0" w14:cap="flat" w14:cmpd="sng" w14:algn="ctr">
            <w14:noFill/>
            <w14:prstDash w14:val="solid"/>
            <w14:bevel/>
          </w14:textOutline>
        </w:rPr>
        <w:sectPr w:rsidR="001175B3" w:rsidRPr="009B39EC" w:rsidSect="001175B3">
          <w:headerReference w:type="even" r:id="rId9"/>
          <w:headerReference w:type="default" r:id="rId10"/>
          <w:footerReference w:type="default" r:id="rId11"/>
          <w:footerReference w:type="first" r:id="rId12"/>
          <w:pgSz w:w="11906" w:h="16838"/>
          <w:pgMar w:top="1411" w:right="1411" w:bottom="1411" w:left="1411" w:header="706" w:footer="706" w:gutter="0"/>
          <w:cols w:space="708"/>
          <w:titlePg/>
          <w:docGrid w:linePitch="360"/>
        </w:sectPr>
      </w:pPr>
    </w:p>
    <w:p w14:paraId="2186DD2F" w14:textId="275AF07C" w:rsidR="001175B3" w:rsidRPr="009B39EC" w:rsidRDefault="00DA07CB" w:rsidP="00C27A21">
      <w:pPr>
        <w:numPr>
          <w:ilvl w:val="0"/>
          <w:numId w:val="5"/>
        </w:numPr>
        <w:spacing w:after="0" w:line="240" w:lineRule="auto"/>
        <w:outlineLvl w:val="0"/>
        <w:rPr>
          <w:rFonts w:ascii="Arial" w:hAnsi="Arial" w:cs="Arial"/>
          <w:b/>
          <w:bCs/>
          <w:color w:val="4472C4" w:themeColor="accent1"/>
          <w:sz w:val="20"/>
          <w:szCs w:val="20"/>
          <w:u w:color="000000"/>
          <w:lang w:val="en-GB" w:eastAsia="en-GB"/>
          <w14:textOutline w14:w="0" w14:cap="flat" w14:cmpd="sng" w14:algn="ctr">
            <w14:noFill/>
            <w14:prstDash w14:val="solid"/>
            <w14:bevel/>
          </w14:textOutline>
        </w:rPr>
      </w:pPr>
      <w:bookmarkStart w:id="3" w:name="_Toc75851657"/>
      <w:r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lastRenderedPageBreak/>
        <w:t>R</w:t>
      </w:r>
      <w:r w:rsidR="00A65624"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EPORT</w:t>
      </w:r>
      <w:r w:rsidR="00E37180"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ING PURSUANT</w:t>
      </w:r>
      <w:r w:rsidR="00A65624"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 xml:space="preserve"> THE STANDARD </w:t>
      </w:r>
      <w:r w:rsidR="00831BCE"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TEMPLATE</w:t>
      </w:r>
      <w:r w:rsidR="00A65624"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 xml:space="preserve"> </w:t>
      </w:r>
      <w:r w:rsidR="00831BCE"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PROVIDED</w:t>
      </w:r>
      <w:r w:rsidR="00A65624"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 xml:space="preserve"> BY THE COMMITTEE OF THE PARTIES </w:t>
      </w:r>
      <w:r w:rsidR="00907CD1"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 xml:space="preserve">OF </w:t>
      </w:r>
      <w:r w:rsidR="00A65624" w:rsidRPr="009B39EC">
        <w:rPr>
          <w:rFonts w:ascii="Arial" w:hAnsi="Arial" w:cs="Arial"/>
          <w:b/>
          <w:bCs/>
          <w:color w:val="4472C4" w:themeColor="accent1"/>
          <w:sz w:val="20"/>
          <w:szCs w:val="20"/>
          <w:u w:color="000000"/>
          <w:lang w:val="en-GB" w:eastAsia="en-GB"/>
          <w14:textOutline w14:w="0" w14:cap="flat" w14:cmpd="sng" w14:algn="ctr">
            <w14:noFill/>
            <w14:prstDash w14:val="solid"/>
            <w14:bevel/>
          </w14:textOutline>
        </w:rPr>
        <w:t>THE CONVENTION</w:t>
      </w:r>
      <w:bookmarkEnd w:id="3"/>
    </w:p>
    <w:p w14:paraId="09727963" w14:textId="44BCF961" w:rsidR="001175B3" w:rsidRPr="009B39EC" w:rsidRDefault="00A65624"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r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In accordance with the instructions provided by the Committee of the Parties </w:t>
      </w:r>
      <w:r w:rsidR="00907CD1" w:rsidRPr="009B39EC">
        <w:rPr>
          <w:rFonts w:ascii="Arial" w:hAnsi="Arial" w:cs="Arial"/>
          <w:color w:val="000000"/>
          <w:sz w:val="20"/>
          <w:szCs w:val="20"/>
          <w:u w:color="000000"/>
          <w:lang w:val="en-GB" w:eastAsia="en-GB"/>
          <w14:textOutline w14:w="0" w14:cap="flat" w14:cmpd="sng" w14:algn="ctr">
            <w14:noFill/>
            <w14:prstDash w14:val="solid"/>
            <w14:bevel/>
          </w14:textOutline>
        </w:rPr>
        <w:t>of</w:t>
      </w:r>
      <w:r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 Council of Europe Convention on Prev</w:t>
      </w:r>
      <w:r w:rsidR="00975ECA" w:rsidRPr="009B39EC">
        <w:rPr>
          <w:rFonts w:ascii="Arial" w:hAnsi="Arial" w:cs="Arial"/>
          <w:color w:val="000000"/>
          <w:sz w:val="20"/>
          <w:szCs w:val="20"/>
          <w:u w:color="000000"/>
          <w:lang w:val="en-GB" w:eastAsia="en-GB"/>
          <w14:textOutline w14:w="0" w14:cap="flat" w14:cmpd="sng" w14:algn="ctr">
            <w14:noFill/>
            <w14:prstDash w14:val="solid"/>
            <w14:bevel/>
          </w14:textOutline>
        </w:rPr>
        <w:t>e</w:t>
      </w:r>
      <w:r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nting and Combating Violence against Women and Domestic Violence </w:t>
      </w:r>
      <w:r w:rsidR="009665B9" w:rsidRPr="009B39EC">
        <w:rPr>
          <w:rFonts w:ascii="Arial" w:hAnsi="Arial" w:cs="Arial"/>
          <w:color w:val="000000"/>
          <w:sz w:val="20"/>
          <w:szCs w:val="20"/>
          <w:u w:color="000000"/>
          <w:lang w:val="en-GB" w:eastAsia="en-GB"/>
          <w14:textOutline w14:w="0" w14:cap="flat" w14:cmpd="sng" w14:algn="ctr">
            <w14:noFill/>
            <w14:prstDash w14:val="solid"/>
            <w14:bevel/>
          </w14:textOutline>
        </w:rPr>
        <w:t>[</w:t>
      </w:r>
      <w:r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as outlined in </w:t>
      </w:r>
      <w:r w:rsidR="009665B9" w:rsidRPr="009B39EC">
        <w:rPr>
          <w:rFonts w:ascii="Arial" w:hAnsi="Arial" w:cs="Arial"/>
          <w:color w:val="000000"/>
          <w:sz w:val="20"/>
          <w:szCs w:val="20"/>
          <w:u w:color="000000"/>
          <w:lang w:val="en-GB" w:eastAsia="en-GB"/>
          <w14:textOutline w14:w="0" w14:cap="flat" w14:cmpd="sng" w14:algn="ctr">
            <w14:noFill/>
            <w14:prstDash w14:val="solid"/>
            <w14:bevel/>
          </w14:textOutline>
        </w:rPr>
        <w:t>do</w:t>
      </w:r>
      <w:r w:rsidRPr="009B39EC">
        <w:rPr>
          <w:rFonts w:ascii="Arial" w:hAnsi="Arial" w:cs="Arial"/>
          <w:color w:val="000000"/>
          <w:sz w:val="20"/>
          <w:szCs w:val="20"/>
          <w:u w:color="000000"/>
          <w:lang w:val="en-GB" w:eastAsia="en-GB"/>
          <w14:textOutline w14:w="0" w14:cap="flat" w14:cmpd="sng" w14:algn="ctr">
            <w14:noFill/>
            <w14:prstDash w14:val="solid"/>
            <w14:bevel/>
          </w14:textOutline>
        </w:rPr>
        <w:t>c</w:t>
      </w:r>
      <w:r w:rsidR="009665B9" w:rsidRPr="009B39EC">
        <w:rPr>
          <w:rFonts w:ascii="Arial" w:hAnsi="Arial" w:cs="Arial"/>
          <w:color w:val="000000"/>
          <w:sz w:val="20"/>
          <w:szCs w:val="20"/>
          <w:u w:color="000000"/>
          <w:lang w:val="en-GB" w:eastAsia="en-GB"/>
          <w14:textOutline w14:w="0" w14:cap="flat" w14:cmpd="sng" w14:algn="ctr">
            <w14:noFill/>
            <w14:prstDash w14:val="solid"/>
            <w14:bevel/>
          </w14:textOutline>
        </w:rPr>
        <w:t>ument IC-CP (2020)12 rev, dat</w:t>
      </w:r>
      <w:r w:rsidRPr="009B39EC">
        <w:rPr>
          <w:rFonts w:ascii="Arial" w:hAnsi="Arial" w:cs="Arial"/>
          <w:color w:val="000000"/>
          <w:sz w:val="20"/>
          <w:szCs w:val="20"/>
          <w:u w:color="000000"/>
          <w:lang w:val="en-GB" w:eastAsia="en-GB"/>
          <w14:textOutline w14:w="0" w14:cap="flat" w14:cmpd="sng" w14:algn="ctr">
            <w14:noFill/>
            <w14:prstDash w14:val="solid"/>
            <w14:bevel/>
          </w14:textOutline>
        </w:rPr>
        <w:t>ed</w:t>
      </w:r>
      <w:r w:rsidR="009665B9"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 20 </w:t>
      </w:r>
      <w:r w:rsidRPr="009B39EC">
        <w:rPr>
          <w:rFonts w:ascii="Arial" w:hAnsi="Arial" w:cs="Arial"/>
          <w:color w:val="000000"/>
          <w:sz w:val="20"/>
          <w:szCs w:val="20"/>
          <w:u w:color="000000"/>
          <w:lang w:val="en-GB" w:eastAsia="en-GB"/>
          <w14:textOutline w14:w="0" w14:cap="flat" w14:cmpd="sng" w14:algn="ctr">
            <w14:noFill/>
            <w14:prstDash w14:val="solid"/>
            <w14:bevel/>
          </w14:textOutline>
        </w:rPr>
        <w:t>January</w:t>
      </w:r>
      <w:r w:rsidR="009665B9"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 2021]</w:t>
      </w:r>
      <w:r w:rsidR="00914009"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 </w:t>
      </w:r>
      <w:r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in the questionnaire form below, </w:t>
      </w:r>
      <w:r w:rsidRPr="009B39EC">
        <w:rPr>
          <w:rFonts w:ascii="Arial" w:hAnsi="Arial" w:cs="Arial"/>
          <w:sz w:val="20"/>
          <w:szCs w:val="20"/>
          <w:lang w:val="en-GB"/>
        </w:rPr>
        <w:t xml:space="preserve">the Albanian Government has not provided answers to questions 1 to 7.2 and 17 </w:t>
      </w:r>
      <w:r w:rsidR="00907CD1" w:rsidRPr="009B39EC">
        <w:rPr>
          <w:rFonts w:ascii="Arial" w:hAnsi="Arial" w:cs="Arial"/>
          <w:sz w:val="20"/>
          <w:szCs w:val="20"/>
          <w:lang w:val="en-GB"/>
        </w:rPr>
        <w:t xml:space="preserve">to </w:t>
      </w:r>
      <w:r w:rsidRPr="009B39EC">
        <w:rPr>
          <w:rFonts w:ascii="Arial" w:hAnsi="Arial" w:cs="Arial"/>
          <w:sz w:val="20"/>
          <w:szCs w:val="20"/>
          <w:lang w:val="en-GB"/>
        </w:rPr>
        <w:t>17.2, question 20, questions 25 to 27; and questions 28 to 28.3</w:t>
      </w:r>
      <w:r w:rsidR="00914009"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 </w:t>
      </w:r>
      <w:r w:rsidRPr="009B39EC">
        <w:rPr>
          <w:rFonts w:ascii="Arial" w:hAnsi="Arial" w:cs="Arial"/>
          <w:color w:val="000000"/>
          <w:sz w:val="20"/>
          <w:szCs w:val="20"/>
          <w:u w:color="000000"/>
          <w:lang w:val="en-GB" w:eastAsia="en-GB"/>
          <w14:textOutline w14:w="0" w14:cap="flat" w14:cmpd="sng" w14:algn="ctr">
            <w14:noFill/>
            <w14:prstDash w14:val="solid"/>
            <w14:bevel/>
          </w14:textOutline>
        </w:rPr>
        <w:t>These fields have been left blank and highlighted in orange</w:t>
      </w:r>
      <w:r w:rsidR="00914009" w:rsidRPr="009B39EC">
        <w:rPr>
          <w:rFonts w:ascii="Arial" w:hAnsi="Arial" w:cs="Arial"/>
          <w:color w:val="000000"/>
          <w:sz w:val="20"/>
          <w:szCs w:val="20"/>
          <w:u w:color="000000"/>
          <w:lang w:val="en-GB" w:eastAsia="en-GB"/>
          <w14:textOutline w14:w="0" w14:cap="flat" w14:cmpd="sng" w14:algn="ctr">
            <w14:noFill/>
            <w14:prstDash w14:val="solid"/>
            <w14:bevel/>
          </w14:textOutline>
        </w:rPr>
        <w:t xml:space="preserve">. </w:t>
      </w:r>
    </w:p>
    <w:p w14:paraId="1ACC311E" w14:textId="26851EC5"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tbl>
      <w:tblPr>
        <w:tblStyle w:val="TableGrid"/>
        <w:tblW w:w="5001" w:type="pct"/>
        <w:tblLook w:val="04A0" w:firstRow="1" w:lastRow="0" w:firstColumn="1" w:lastColumn="0" w:noHBand="0" w:noVBand="1"/>
      </w:tblPr>
      <w:tblGrid>
        <w:gridCol w:w="606"/>
        <w:gridCol w:w="9788"/>
        <w:gridCol w:w="2239"/>
        <w:gridCol w:w="1364"/>
      </w:tblGrid>
      <w:tr w:rsidR="00CD0E91" w:rsidRPr="009B39EC" w14:paraId="78250FBF" w14:textId="77777777" w:rsidTr="00CD0E91">
        <w:tc>
          <w:tcPr>
            <w:tcW w:w="5000" w:type="pct"/>
            <w:gridSpan w:val="4"/>
            <w:shd w:val="clear" w:color="auto" w:fill="FBE4D5" w:themeFill="accent2" w:themeFillTint="33"/>
          </w:tcPr>
          <w:p w14:paraId="3CF0B782" w14:textId="77777777" w:rsidR="00CD0E91" w:rsidRPr="009B39EC" w:rsidRDefault="00CD0E91" w:rsidP="00491D1F">
            <w:pPr>
              <w:pStyle w:val="NoSpacing"/>
              <w:jc w:val="both"/>
              <w:rPr>
                <w:rFonts w:ascii="Arial" w:hAnsi="Arial" w:cs="Arial"/>
                <w:b/>
                <w:bCs/>
                <w:sz w:val="20"/>
                <w:szCs w:val="20"/>
                <w:lang w:val="en-GB"/>
              </w:rPr>
            </w:pPr>
          </w:p>
          <w:p w14:paraId="4E74F784" w14:textId="267D6554" w:rsidR="00CD0E91" w:rsidRPr="009B39EC" w:rsidRDefault="00A65624" w:rsidP="00A65624">
            <w:pPr>
              <w:pStyle w:val="NoSpacing"/>
              <w:numPr>
                <w:ilvl w:val="0"/>
                <w:numId w:val="3"/>
              </w:numPr>
              <w:jc w:val="both"/>
              <w:rPr>
                <w:rFonts w:ascii="Arial" w:hAnsi="Arial" w:cs="Arial"/>
                <w:b/>
                <w:bCs/>
                <w:sz w:val="20"/>
                <w:szCs w:val="20"/>
                <w:lang w:val="en-GB"/>
              </w:rPr>
            </w:pPr>
            <w:r w:rsidRPr="009B39EC">
              <w:rPr>
                <w:rFonts w:ascii="Arial" w:hAnsi="Arial" w:cs="Arial"/>
                <w:b/>
                <w:bCs/>
                <w:sz w:val="20"/>
                <w:szCs w:val="20"/>
                <w:lang w:val="en-GB"/>
              </w:rPr>
              <w:t>Fundamental rights, equality, and non-discrimination (Article 4)</w:t>
            </w:r>
          </w:p>
          <w:p w14:paraId="5ADD557A" w14:textId="77777777" w:rsidR="00CD0E91" w:rsidRPr="009B39EC" w:rsidRDefault="00CD0E91" w:rsidP="00E93F84">
            <w:pPr>
              <w:pStyle w:val="NoSpacing"/>
              <w:jc w:val="both"/>
              <w:rPr>
                <w:rFonts w:ascii="Arial" w:hAnsi="Arial" w:cs="Arial"/>
                <w:b/>
                <w:bCs/>
                <w:sz w:val="20"/>
                <w:szCs w:val="20"/>
                <w:lang w:val="en-GB"/>
              </w:rPr>
            </w:pPr>
          </w:p>
        </w:tc>
      </w:tr>
      <w:tr w:rsidR="00CD0E91" w:rsidRPr="009B39EC" w14:paraId="1D2E6FF0" w14:textId="77777777" w:rsidTr="00047815">
        <w:tc>
          <w:tcPr>
            <w:tcW w:w="216" w:type="pct"/>
            <w:shd w:val="clear" w:color="auto" w:fill="FBE4D5" w:themeFill="accent2" w:themeFillTint="33"/>
          </w:tcPr>
          <w:p w14:paraId="40D9F7D7"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1</w:t>
            </w:r>
          </w:p>
        </w:tc>
        <w:tc>
          <w:tcPr>
            <w:tcW w:w="3497" w:type="pct"/>
            <w:shd w:val="clear" w:color="auto" w:fill="FBE4D5" w:themeFill="accent2" w:themeFillTint="33"/>
          </w:tcPr>
          <w:p w14:paraId="4A43B535" w14:textId="1A0FAA14" w:rsidR="00CD0E91" w:rsidRPr="009B39EC" w:rsidRDefault="00A65624" w:rsidP="00491D1F">
            <w:pPr>
              <w:pStyle w:val="NoSpacing"/>
              <w:jc w:val="both"/>
              <w:rPr>
                <w:rFonts w:ascii="Arial" w:hAnsi="Arial" w:cs="Arial"/>
                <w:sz w:val="20"/>
                <w:szCs w:val="20"/>
                <w:lang w:val="en-GB"/>
              </w:rPr>
            </w:pPr>
            <w:r w:rsidRPr="009B39EC">
              <w:rPr>
                <w:rFonts w:ascii="Arial" w:hAnsi="Arial" w:cs="Arial"/>
                <w:sz w:val="20"/>
                <w:szCs w:val="20"/>
                <w:lang w:val="en-GB"/>
              </w:rPr>
              <w:t>Have your authorities taken measures to ensure that the provisions of the Istanbul Convention are implemented without discrimination on any grounds listed in Article 4, paragraph 3, of the convention, including in terms of the availability of services and the protection by law enforcement agencies?</w:t>
            </w:r>
          </w:p>
        </w:tc>
        <w:tc>
          <w:tcPr>
            <w:tcW w:w="800" w:type="pct"/>
            <w:shd w:val="clear" w:color="auto" w:fill="FBE4D5" w:themeFill="accent2" w:themeFillTint="33"/>
          </w:tcPr>
          <w:p w14:paraId="228B8BF2" w14:textId="5D754C18"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837532388"/>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5E8486A6" w14:textId="2A0034E8" w:rsidR="00CD0E91" w:rsidRPr="009B39EC" w:rsidRDefault="00A65624" w:rsidP="00491D1F">
            <w:pPr>
              <w:jc w:val="both"/>
              <w:rPr>
                <w:rFonts w:ascii="Arial" w:hAnsi="Arial" w:cs="Arial"/>
                <w:b/>
                <w:bCs/>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819790464"/>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r>
      <w:tr w:rsidR="00CD0E91" w:rsidRPr="009B39EC" w14:paraId="5F95B647" w14:textId="77777777" w:rsidTr="004860C4">
        <w:tc>
          <w:tcPr>
            <w:tcW w:w="216" w:type="pct"/>
            <w:shd w:val="clear" w:color="auto" w:fill="FBE4D5" w:themeFill="accent2" w:themeFillTint="33"/>
          </w:tcPr>
          <w:p w14:paraId="198917AB"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1.1</w:t>
            </w:r>
          </w:p>
        </w:tc>
        <w:tc>
          <w:tcPr>
            <w:tcW w:w="4784" w:type="pct"/>
            <w:gridSpan w:val="3"/>
            <w:shd w:val="clear" w:color="auto" w:fill="FBE4D5" w:themeFill="accent2" w:themeFillTint="33"/>
          </w:tcPr>
          <w:p w14:paraId="5E77025E" w14:textId="3C02FEC5"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If yes, please specify:</w:t>
            </w:r>
          </w:p>
          <w:p w14:paraId="12F1C16A" w14:textId="45476192" w:rsidR="00CD0E91" w:rsidRPr="009B39EC" w:rsidRDefault="00CD0E91" w:rsidP="00491D1F">
            <w:pPr>
              <w:jc w:val="both"/>
              <w:rPr>
                <w:rFonts w:ascii="Arial" w:hAnsi="Arial" w:cs="Arial"/>
                <w:sz w:val="20"/>
                <w:szCs w:val="20"/>
                <w:lang w:val="en-GB"/>
              </w:rPr>
            </w:pPr>
          </w:p>
        </w:tc>
      </w:tr>
      <w:tr w:rsidR="00CD0E91" w:rsidRPr="009B39EC" w14:paraId="05B3D6AC" w14:textId="77777777" w:rsidTr="004860C4">
        <w:tc>
          <w:tcPr>
            <w:tcW w:w="216" w:type="pct"/>
            <w:shd w:val="clear" w:color="auto" w:fill="FBE4D5" w:themeFill="accent2" w:themeFillTint="33"/>
          </w:tcPr>
          <w:p w14:paraId="0D7EB988"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1.2</w:t>
            </w:r>
          </w:p>
        </w:tc>
        <w:tc>
          <w:tcPr>
            <w:tcW w:w="4784" w:type="pct"/>
            <w:gridSpan w:val="3"/>
            <w:shd w:val="clear" w:color="auto" w:fill="FBE4D5" w:themeFill="accent2" w:themeFillTint="33"/>
          </w:tcPr>
          <w:p w14:paraId="256034A6" w14:textId="485C7FD0" w:rsidR="00CD0E91" w:rsidRPr="009B39EC" w:rsidRDefault="00975ECA" w:rsidP="00491D1F">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CD0E91" w:rsidRPr="009B39EC">
              <w:rPr>
                <w:rFonts w:ascii="Arial" w:hAnsi="Arial" w:cs="Arial"/>
                <w:sz w:val="20"/>
                <w:szCs w:val="20"/>
                <w:lang w:val="en-GB"/>
              </w:rPr>
              <w:t>:</w:t>
            </w:r>
          </w:p>
          <w:p w14:paraId="0EC06372" w14:textId="019DFF85" w:rsidR="00CD0E91" w:rsidRPr="009B39EC" w:rsidRDefault="00CD0E91" w:rsidP="00491D1F">
            <w:pPr>
              <w:jc w:val="both"/>
              <w:rPr>
                <w:rFonts w:ascii="Arial" w:hAnsi="Arial" w:cs="Arial"/>
                <w:sz w:val="20"/>
                <w:szCs w:val="20"/>
                <w:lang w:val="en-GB"/>
              </w:rPr>
            </w:pPr>
          </w:p>
        </w:tc>
      </w:tr>
      <w:tr w:rsidR="00CD0E91" w:rsidRPr="009B39EC" w14:paraId="50623477" w14:textId="77777777" w:rsidTr="00047815">
        <w:tc>
          <w:tcPr>
            <w:tcW w:w="216" w:type="pct"/>
            <w:shd w:val="clear" w:color="auto" w:fill="FBE4D5" w:themeFill="accent2" w:themeFillTint="33"/>
          </w:tcPr>
          <w:p w14:paraId="5F3F382F"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2</w:t>
            </w:r>
          </w:p>
        </w:tc>
        <w:tc>
          <w:tcPr>
            <w:tcW w:w="3497" w:type="pct"/>
            <w:shd w:val="clear" w:color="auto" w:fill="FBE4D5" w:themeFill="accent2" w:themeFillTint="33"/>
          </w:tcPr>
          <w:p w14:paraId="242558B2" w14:textId="0FCB7288" w:rsidR="00CD0E91" w:rsidRPr="009B39EC" w:rsidRDefault="00D02F61" w:rsidP="00491D1F">
            <w:pPr>
              <w:jc w:val="both"/>
              <w:rPr>
                <w:rFonts w:ascii="Arial" w:hAnsi="Arial" w:cs="Arial"/>
                <w:sz w:val="20"/>
                <w:szCs w:val="20"/>
                <w:lang w:val="en-GB"/>
              </w:rPr>
            </w:pPr>
            <w:r w:rsidRPr="009B39EC">
              <w:rPr>
                <w:rFonts w:ascii="Arial" w:hAnsi="Arial" w:cs="Arial"/>
                <w:sz w:val="20"/>
                <w:szCs w:val="20"/>
                <w:lang w:val="en-GB"/>
              </w:rPr>
              <w:t>Have your authorities taken measures contributing to prevent and combat violence against women who are or might be exposed to intersectional discrimination</w:t>
            </w:r>
            <w:r w:rsidR="00CD0E91" w:rsidRPr="009B39EC">
              <w:rPr>
                <w:rFonts w:ascii="Arial" w:hAnsi="Arial" w:cs="Arial"/>
                <w:sz w:val="20"/>
                <w:szCs w:val="20"/>
                <w:lang w:val="en-GB"/>
              </w:rPr>
              <w:t>?</w:t>
            </w:r>
          </w:p>
        </w:tc>
        <w:tc>
          <w:tcPr>
            <w:tcW w:w="800" w:type="pct"/>
            <w:shd w:val="clear" w:color="auto" w:fill="FBE4D5" w:themeFill="accent2" w:themeFillTint="33"/>
          </w:tcPr>
          <w:p w14:paraId="47C87403" w14:textId="0F8CD201"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269825185"/>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70177EA3" w14:textId="758A7D08"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308051307"/>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r>
      <w:tr w:rsidR="00CD0E91" w:rsidRPr="009B39EC" w14:paraId="4E286D7F" w14:textId="77777777" w:rsidTr="004860C4">
        <w:tc>
          <w:tcPr>
            <w:tcW w:w="216" w:type="pct"/>
            <w:shd w:val="clear" w:color="auto" w:fill="FBE4D5" w:themeFill="accent2" w:themeFillTint="33"/>
          </w:tcPr>
          <w:p w14:paraId="62839FCE"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2.1</w:t>
            </w:r>
          </w:p>
        </w:tc>
        <w:tc>
          <w:tcPr>
            <w:tcW w:w="4784" w:type="pct"/>
            <w:gridSpan w:val="3"/>
            <w:shd w:val="clear" w:color="auto" w:fill="FBE4D5" w:themeFill="accent2" w:themeFillTint="33"/>
          </w:tcPr>
          <w:p w14:paraId="21E7A16C" w14:textId="011A19FD" w:rsidR="00CD0E91" w:rsidRPr="009B39EC" w:rsidRDefault="002A16E9" w:rsidP="00491D1F">
            <w:pPr>
              <w:jc w:val="both"/>
              <w:rPr>
                <w:rFonts w:ascii="Arial" w:hAnsi="Arial" w:cs="Arial"/>
                <w:sz w:val="20"/>
                <w:szCs w:val="20"/>
                <w:lang w:val="en-GB"/>
              </w:rPr>
            </w:pPr>
            <w:r w:rsidRPr="009B39EC">
              <w:rPr>
                <w:rFonts w:ascii="Arial" w:hAnsi="Arial" w:cs="Arial"/>
                <w:sz w:val="20"/>
                <w:szCs w:val="20"/>
                <w:lang w:val="en-GB"/>
              </w:rPr>
              <w:t>If yes, please specify</w:t>
            </w:r>
            <w:r w:rsidR="00CD0E91" w:rsidRPr="009B39EC">
              <w:rPr>
                <w:rFonts w:ascii="Arial" w:hAnsi="Arial" w:cs="Arial"/>
                <w:sz w:val="20"/>
                <w:szCs w:val="20"/>
                <w:lang w:val="en-GB"/>
              </w:rPr>
              <w:t>:</w:t>
            </w:r>
          </w:p>
        </w:tc>
      </w:tr>
      <w:tr w:rsidR="00CD0E91" w:rsidRPr="009B39EC" w14:paraId="532A580C" w14:textId="77777777" w:rsidTr="004860C4">
        <w:tc>
          <w:tcPr>
            <w:tcW w:w="216" w:type="pct"/>
            <w:shd w:val="clear" w:color="auto" w:fill="FBE4D5" w:themeFill="accent2" w:themeFillTint="33"/>
          </w:tcPr>
          <w:p w14:paraId="7FFD82FD"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2.2</w:t>
            </w:r>
          </w:p>
        </w:tc>
        <w:tc>
          <w:tcPr>
            <w:tcW w:w="4784" w:type="pct"/>
            <w:gridSpan w:val="3"/>
            <w:shd w:val="clear" w:color="auto" w:fill="FBE4D5" w:themeFill="accent2" w:themeFillTint="33"/>
          </w:tcPr>
          <w:p w14:paraId="3F3DB4A2" w14:textId="49863471" w:rsidR="00CD0E91" w:rsidRPr="009B39EC" w:rsidRDefault="00975ECA" w:rsidP="00491D1F">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CD0E91" w:rsidRPr="009B39EC">
              <w:rPr>
                <w:rFonts w:ascii="Arial" w:hAnsi="Arial" w:cs="Arial"/>
                <w:sz w:val="20"/>
                <w:szCs w:val="20"/>
                <w:lang w:val="en-GB"/>
              </w:rPr>
              <w:t>:</w:t>
            </w:r>
          </w:p>
          <w:p w14:paraId="3198EF8A" w14:textId="2AE21B4A" w:rsidR="00CD0E91" w:rsidRPr="009B39EC" w:rsidRDefault="00CD0E91" w:rsidP="00491D1F">
            <w:pPr>
              <w:jc w:val="both"/>
              <w:rPr>
                <w:rFonts w:ascii="Arial" w:hAnsi="Arial" w:cs="Arial"/>
                <w:sz w:val="20"/>
                <w:szCs w:val="20"/>
                <w:lang w:val="en-GB"/>
              </w:rPr>
            </w:pPr>
          </w:p>
        </w:tc>
      </w:tr>
      <w:tr w:rsidR="00CD0E91" w:rsidRPr="009B39EC" w14:paraId="41A1F398" w14:textId="77777777" w:rsidTr="004860C4">
        <w:tc>
          <w:tcPr>
            <w:tcW w:w="216" w:type="pct"/>
            <w:shd w:val="clear" w:color="auto" w:fill="FBE4D5" w:themeFill="accent2" w:themeFillTint="33"/>
          </w:tcPr>
          <w:p w14:paraId="1A80B92D"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3</w:t>
            </w:r>
          </w:p>
        </w:tc>
        <w:tc>
          <w:tcPr>
            <w:tcW w:w="4784" w:type="pct"/>
            <w:gridSpan w:val="3"/>
            <w:shd w:val="clear" w:color="auto" w:fill="FBE4D5" w:themeFill="accent2" w:themeFillTint="33"/>
          </w:tcPr>
          <w:p w14:paraId="33AE528E" w14:textId="4C66BCBE" w:rsidR="00CD0E91" w:rsidRPr="009B39EC" w:rsidRDefault="002A16E9" w:rsidP="00491D1F">
            <w:pPr>
              <w:jc w:val="both"/>
              <w:rPr>
                <w:rFonts w:ascii="Arial" w:hAnsi="Arial" w:cs="Arial"/>
                <w:sz w:val="20"/>
                <w:szCs w:val="20"/>
                <w:lang w:val="en-GB"/>
              </w:rPr>
            </w:pPr>
            <w:r w:rsidRPr="009B39EC">
              <w:rPr>
                <w:rFonts w:ascii="Arial" w:hAnsi="Arial" w:cs="Arial"/>
                <w:sz w:val="20"/>
                <w:szCs w:val="20"/>
                <w:lang w:val="en-GB"/>
              </w:rPr>
              <w:t>In case your authorities have taken further measures contributing to the implementation of recommendations in relation to Article 4, which were not covered by the questions above, please report on these measures [word limit: 1000 words]</w:t>
            </w:r>
            <w:r w:rsidR="00CD0E91" w:rsidRPr="009B39EC">
              <w:rPr>
                <w:rFonts w:ascii="Arial" w:hAnsi="Arial" w:cs="Arial"/>
                <w:sz w:val="20"/>
                <w:szCs w:val="20"/>
                <w:lang w:val="en-GB"/>
              </w:rPr>
              <w:t>:</w:t>
            </w:r>
          </w:p>
        </w:tc>
      </w:tr>
      <w:tr w:rsidR="00CD0E91" w:rsidRPr="009B39EC" w14:paraId="09DFD0A7" w14:textId="77777777" w:rsidTr="00CD0E91">
        <w:tc>
          <w:tcPr>
            <w:tcW w:w="5000" w:type="pct"/>
            <w:gridSpan w:val="4"/>
            <w:shd w:val="clear" w:color="auto" w:fill="FBE4D5" w:themeFill="accent2" w:themeFillTint="33"/>
          </w:tcPr>
          <w:p w14:paraId="7D0AD82B" w14:textId="77777777" w:rsidR="00CD0E91" w:rsidRPr="009B39EC" w:rsidRDefault="00CD0E91" w:rsidP="00491D1F">
            <w:pPr>
              <w:pStyle w:val="NoSpacing"/>
              <w:jc w:val="both"/>
              <w:rPr>
                <w:rFonts w:ascii="Arial" w:hAnsi="Arial" w:cs="Arial"/>
                <w:b/>
                <w:bCs/>
                <w:sz w:val="20"/>
                <w:szCs w:val="20"/>
                <w:lang w:val="en-GB"/>
              </w:rPr>
            </w:pPr>
          </w:p>
          <w:p w14:paraId="37DF8ABE" w14:textId="7E8FC3CD" w:rsidR="00CD0E91" w:rsidRPr="009B39EC" w:rsidRDefault="002A16E9" w:rsidP="00491D1F">
            <w:pPr>
              <w:pStyle w:val="NoSpacing"/>
              <w:numPr>
                <w:ilvl w:val="0"/>
                <w:numId w:val="3"/>
              </w:numPr>
              <w:jc w:val="both"/>
              <w:rPr>
                <w:rFonts w:ascii="Arial" w:hAnsi="Arial" w:cs="Arial"/>
                <w:b/>
                <w:bCs/>
                <w:sz w:val="20"/>
                <w:szCs w:val="20"/>
                <w:lang w:val="en-GB"/>
              </w:rPr>
            </w:pPr>
            <w:r w:rsidRPr="009B39EC">
              <w:rPr>
                <w:rFonts w:ascii="Arial" w:hAnsi="Arial" w:cs="Arial"/>
                <w:b/>
                <w:bCs/>
                <w:sz w:val="20"/>
                <w:szCs w:val="20"/>
                <w:lang w:val="en-GB"/>
              </w:rPr>
              <w:t>Comprehensive and co-ordinated policies implemented under the responsibility of an adequately mandated and resourced co-ordinating body (Articles 7 and 10)</w:t>
            </w:r>
          </w:p>
          <w:p w14:paraId="2C9922FB" w14:textId="44C44032" w:rsidR="00E93F84" w:rsidRPr="009B39EC" w:rsidRDefault="00E93F84" w:rsidP="00E93F84">
            <w:pPr>
              <w:pStyle w:val="NoSpacing"/>
              <w:ind w:left="1080"/>
              <w:jc w:val="both"/>
              <w:rPr>
                <w:rFonts w:ascii="Arial" w:hAnsi="Arial" w:cs="Arial"/>
                <w:b/>
                <w:bCs/>
                <w:sz w:val="20"/>
                <w:szCs w:val="20"/>
                <w:lang w:val="en-GB"/>
              </w:rPr>
            </w:pPr>
          </w:p>
        </w:tc>
      </w:tr>
      <w:tr w:rsidR="00CD0E91" w:rsidRPr="009B39EC" w14:paraId="46FCD619" w14:textId="77777777" w:rsidTr="00047815">
        <w:tc>
          <w:tcPr>
            <w:tcW w:w="216" w:type="pct"/>
            <w:shd w:val="clear" w:color="auto" w:fill="FBE4D5" w:themeFill="accent2" w:themeFillTint="33"/>
          </w:tcPr>
          <w:p w14:paraId="6A54457F"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4</w:t>
            </w:r>
          </w:p>
        </w:tc>
        <w:tc>
          <w:tcPr>
            <w:tcW w:w="3497" w:type="pct"/>
            <w:shd w:val="clear" w:color="auto" w:fill="FBE4D5" w:themeFill="accent2" w:themeFillTint="33"/>
          </w:tcPr>
          <w:p w14:paraId="624D6FB4" w14:textId="257164D7" w:rsidR="00CD0E91" w:rsidRPr="009B39EC" w:rsidRDefault="002A16E9" w:rsidP="00491D1F">
            <w:pPr>
              <w:jc w:val="both"/>
              <w:rPr>
                <w:rFonts w:ascii="Arial" w:hAnsi="Arial" w:cs="Arial"/>
                <w:sz w:val="20"/>
                <w:szCs w:val="20"/>
                <w:lang w:val="en-GB"/>
              </w:rPr>
            </w:pPr>
            <w:r w:rsidRPr="009B39EC">
              <w:rPr>
                <w:rFonts w:ascii="Arial" w:hAnsi="Arial" w:cs="Arial"/>
                <w:sz w:val="20"/>
                <w:szCs w:val="20"/>
                <w:lang w:val="en-GB"/>
              </w:rPr>
              <w:t>Have your authorities developed a long-term plan/strategy to prevent and combat violence against women</w:t>
            </w:r>
            <w:r w:rsidR="00CD0E91" w:rsidRPr="009B39EC">
              <w:rPr>
                <w:rFonts w:ascii="Arial" w:hAnsi="Arial" w:cs="Arial"/>
                <w:sz w:val="20"/>
                <w:szCs w:val="20"/>
                <w:lang w:val="en-GB"/>
              </w:rPr>
              <w:t>?</w:t>
            </w:r>
          </w:p>
        </w:tc>
        <w:tc>
          <w:tcPr>
            <w:tcW w:w="800" w:type="pct"/>
            <w:shd w:val="clear" w:color="auto" w:fill="FBE4D5" w:themeFill="accent2" w:themeFillTint="33"/>
          </w:tcPr>
          <w:p w14:paraId="4FC329C0" w14:textId="3191C1D0"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561681723"/>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0D259108" w14:textId="53A02910"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746526965"/>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p w14:paraId="7539910E" w14:textId="77777777" w:rsidR="00CD0E91" w:rsidRPr="009B39EC" w:rsidRDefault="00CD0E91" w:rsidP="00491D1F">
            <w:pPr>
              <w:jc w:val="both"/>
              <w:rPr>
                <w:rFonts w:ascii="Arial" w:hAnsi="Arial" w:cs="Arial"/>
                <w:sz w:val="20"/>
                <w:szCs w:val="20"/>
                <w:lang w:val="en-GB"/>
              </w:rPr>
            </w:pPr>
          </w:p>
          <w:p w14:paraId="2DF12830" w14:textId="7E1EA32A"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 xml:space="preserve">N/A </w:t>
            </w:r>
            <w:sdt>
              <w:sdtPr>
                <w:rPr>
                  <w:rFonts w:ascii="Arial" w:hAnsi="Arial" w:cs="Arial"/>
                  <w:sz w:val="20"/>
                  <w:szCs w:val="20"/>
                  <w:lang w:val="en-GB"/>
                </w:rPr>
                <w:id w:val="1090505054"/>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p w14:paraId="676FCC48" w14:textId="7C28AFE5"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 xml:space="preserve"> </w:t>
            </w:r>
            <w:r w:rsidR="002A16E9" w:rsidRPr="009B39EC">
              <w:rPr>
                <w:rFonts w:ascii="Arial" w:hAnsi="Arial" w:cs="Arial"/>
                <w:sz w:val="20"/>
                <w:szCs w:val="20"/>
                <w:lang w:val="en-GB"/>
              </w:rPr>
              <w:t xml:space="preserve">(a plan/strategy was already developed at the time of GREVIO’s </w:t>
            </w:r>
            <w:r w:rsidR="002A16E9" w:rsidRPr="009B39EC">
              <w:rPr>
                <w:rFonts w:ascii="Arial" w:hAnsi="Arial" w:cs="Arial"/>
                <w:sz w:val="20"/>
                <w:szCs w:val="20"/>
                <w:lang w:val="en-GB"/>
              </w:rPr>
              <w:lastRenderedPageBreak/>
              <w:t>baseline evaluation)</w:t>
            </w:r>
            <w:r w:rsidRPr="009B39EC">
              <w:rPr>
                <w:rFonts w:ascii="Arial" w:hAnsi="Arial" w:cs="Arial"/>
                <w:sz w:val="20"/>
                <w:szCs w:val="20"/>
                <w:lang w:val="en-GB"/>
              </w:rPr>
              <w:t xml:space="preserve">  </w:t>
            </w:r>
          </w:p>
        </w:tc>
      </w:tr>
      <w:tr w:rsidR="00CD0E91" w:rsidRPr="009B39EC" w14:paraId="50A4D4CF" w14:textId="77777777" w:rsidTr="004860C4">
        <w:tc>
          <w:tcPr>
            <w:tcW w:w="216" w:type="pct"/>
            <w:shd w:val="clear" w:color="auto" w:fill="FBE4D5" w:themeFill="accent2" w:themeFillTint="33"/>
          </w:tcPr>
          <w:p w14:paraId="6CAE6528"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lastRenderedPageBreak/>
              <w:t>4.1</w:t>
            </w:r>
          </w:p>
        </w:tc>
        <w:tc>
          <w:tcPr>
            <w:tcW w:w="4784" w:type="pct"/>
            <w:gridSpan w:val="3"/>
            <w:shd w:val="clear" w:color="auto" w:fill="FBE4D5" w:themeFill="accent2" w:themeFillTint="33"/>
          </w:tcPr>
          <w:p w14:paraId="6E756B01" w14:textId="7BAA160A" w:rsidR="00CD0E91" w:rsidRPr="009B39EC" w:rsidRDefault="00975ECA" w:rsidP="00491D1F">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DC5A7D" w:rsidRPr="009B39EC">
              <w:rPr>
                <w:rFonts w:ascii="Arial" w:hAnsi="Arial" w:cs="Arial"/>
                <w:sz w:val="20"/>
                <w:szCs w:val="20"/>
                <w:lang w:val="en-GB"/>
              </w:rPr>
              <w:t>:</w:t>
            </w:r>
          </w:p>
          <w:p w14:paraId="2F399F66" w14:textId="125BFFEA" w:rsidR="00DC5A7D" w:rsidRPr="009B39EC" w:rsidRDefault="00DC5A7D" w:rsidP="00491D1F">
            <w:pPr>
              <w:jc w:val="both"/>
              <w:rPr>
                <w:rFonts w:ascii="Arial" w:hAnsi="Arial" w:cs="Arial"/>
                <w:sz w:val="20"/>
                <w:szCs w:val="20"/>
                <w:lang w:val="en-GB"/>
              </w:rPr>
            </w:pPr>
          </w:p>
        </w:tc>
      </w:tr>
      <w:tr w:rsidR="00CD0E91" w:rsidRPr="009B39EC" w14:paraId="0F535187" w14:textId="77777777" w:rsidTr="004860C4">
        <w:tc>
          <w:tcPr>
            <w:tcW w:w="216" w:type="pct"/>
            <w:shd w:val="clear" w:color="auto" w:fill="FBE4D5" w:themeFill="accent2" w:themeFillTint="33"/>
          </w:tcPr>
          <w:p w14:paraId="5E84F159"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5</w:t>
            </w:r>
          </w:p>
        </w:tc>
        <w:tc>
          <w:tcPr>
            <w:tcW w:w="4784" w:type="pct"/>
            <w:gridSpan w:val="3"/>
            <w:shd w:val="clear" w:color="auto" w:fill="FBE4D5" w:themeFill="accent2" w:themeFillTint="33"/>
          </w:tcPr>
          <w:p w14:paraId="04C832D9" w14:textId="696429B6" w:rsidR="00CD0E91" w:rsidRPr="009B39EC" w:rsidRDefault="002A16E9" w:rsidP="00491D1F">
            <w:pPr>
              <w:jc w:val="both"/>
              <w:rPr>
                <w:rFonts w:ascii="Arial" w:hAnsi="Arial" w:cs="Arial"/>
                <w:sz w:val="20"/>
                <w:szCs w:val="20"/>
                <w:lang w:val="en-GB"/>
              </w:rPr>
            </w:pPr>
            <w:r w:rsidRPr="009B39EC">
              <w:rPr>
                <w:rFonts w:ascii="Arial" w:hAnsi="Arial" w:cs="Arial"/>
                <w:sz w:val="20"/>
                <w:szCs w:val="20"/>
                <w:lang w:val="en-GB"/>
              </w:rPr>
              <w:t>Which forms of violence against women covered by the Istanbul Convention are addressed by the plan/strategy? Please offer a brief description specifically indicating the forms of violence not previously addressed in plans or strategies at national level</w:t>
            </w:r>
            <w:r w:rsidR="00DC5A7D" w:rsidRPr="009B39EC">
              <w:rPr>
                <w:rFonts w:ascii="Arial" w:hAnsi="Arial" w:cs="Arial"/>
                <w:sz w:val="20"/>
                <w:szCs w:val="20"/>
                <w:lang w:val="en-GB"/>
              </w:rPr>
              <w:t>.</w:t>
            </w:r>
          </w:p>
        </w:tc>
      </w:tr>
      <w:tr w:rsidR="00CD0E91" w:rsidRPr="009B39EC" w14:paraId="3FBAAF5D" w14:textId="77777777" w:rsidTr="00047815">
        <w:tc>
          <w:tcPr>
            <w:tcW w:w="216" w:type="pct"/>
            <w:shd w:val="clear" w:color="auto" w:fill="FBE4D5" w:themeFill="accent2" w:themeFillTint="33"/>
          </w:tcPr>
          <w:p w14:paraId="0A6B5F58"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6</w:t>
            </w:r>
          </w:p>
        </w:tc>
        <w:tc>
          <w:tcPr>
            <w:tcW w:w="3497" w:type="pct"/>
            <w:shd w:val="clear" w:color="auto" w:fill="FBE4D5" w:themeFill="accent2" w:themeFillTint="33"/>
          </w:tcPr>
          <w:p w14:paraId="1FF2B1BA" w14:textId="2125352E" w:rsidR="00CD0E91" w:rsidRPr="009B39EC" w:rsidRDefault="002A16E9" w:rsidP="00491D1F">
            <w:pPr>
              <w:jc w:val="both"/>
              <w:rPr>
                <w:rFonts w:ascii="Arial" w:hAnsi="Arial" w:cs="Arial"/>
                <w:sz w:val="20"/>
                <w:szCs w:val="20"/>
                <w:lang w:val="en-GB"/>
              </w:rPr>
            </w:pPr>
            <w:r w:rsidRPr="009B39EC">
              <w:rPr>
                <w:rFonts w:ascii="Arial" w:hAnsi="Arial" w:cs="Arial"/>
                <w:sz w:val="20"/>
                <w:szCs w:val="20"/>
                <w:lang w:val="en-GB"/>
              </w:rPr>
              <w:t>Was specific attention given to place the rights of women victims at the centre of all measures planned</w:t>
            </w:r>
            <w:r w:rsidR="00DC5A7D" w:rsidRPr="009B39EC">
              <w:rPr>
                <w:rFonts w:ascii="Arial" w:hAnsi="Arial" w:cs="Arial"/>
                <w:sz w:val="20"/>
                <w:szCs w:val="20"/>
                <w:lang w:val="en-GB"/>
              </w:rPr>
              <w:t>?</w:t>
            </w:r>
          </w:p>
        </w:tc>
        <w:tc>
          <w:tcPr>
            <w:tcW w:w="800" w:type="pct"/>
            <w:shd w:val="clear" w:color="auto" w:fill="FBE4D5" w:themeFill="accent2" w:themeFillTint="33"/>
          </w:tcPr>
          <w:p w14:paraId="3C98E78A" w14:textId="07E5652E"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2006974942"/>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50F77119" w14:textId="30B0109C" w:rsidR="00CD0E91" w:rsidRPr="009B39EC" w:rsidRDefault="00A65624" w:rsidP="00491D1F">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930586033"/>
                <w14:checkbox>
                  <w14:checked w14:val="0"/>
                  <w14:checkedState w14:val="2612" w14:font="MS Gothic"/>
                  <w14:uncheckedState w14:val="2610" w14:font="MS Gothic"/>
                </w14:checkbox>
              </w:sdtPr>
              <w:sdtEndPr/>
              <w:sdtContent>
                <w:r w:rsidR="00CD0E91" w:rsidRPr="009B39EC">
                  <w:rPr>
                    <w:rFonts w:ascii="Segoe UI Symbol" w:eastAsia="MS Gothic" w:hAnsi="Segoe UI Symbol" w:cs="Segoe UI Symbol"/>
                    <w:sz w:val="20"/>
                    <w:szCs w:val="20"/>
                    <w:lang w:val="en-GB"/>
                  </w:rPr>
                  <w:t>☐</w:t>
                </w:r>
              </w:sdtContent>
            </w:sdt>
          </w:p>
        </w:tc>
      </w:tr>
      <w:tr w:rsidR="00CD0E91" w:rsidRPr="009B39EC" w14:paraId="572498BC" w14:textId="77777777" w:rsidTr="004860C4">
        <w:tc>
          <w:tcPr>
            <w:tcW w:w="216" w:type="pct"/>
            <w:shd w:val="clear" w:color="auto" w:fill="FBE4D5" w:themeFill="accent2" w:themeFillTint="33"/>
          </w:tcPr>
          <w:p w14:paraId="77E6501C"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6.1</w:t>
            </w:r>
          </w:p>
        </w:tc>
        <w:tc>
          <w:tcPr>
            <w:tcW w:w="4784" w:type="pct"/>
            <w:gridSpan w:val="3"/>
            <w:shd w:val="clear" w:color="auto" w:fill="FBE4D5" w:themeFill="accent2" w:themeFillTint="33"/>
          </w:tcPr>
          <w:p w14:paraId="1E9C600E" w14:textId="72E72D75" w:rsidR="00CD0E91" w:rsidRPr="009B39EC" w:rsidRDefault="002A16E9" w:rsidP="00491D1F">
            <w:pPr>
              <w:jc w:val="both"/>
              <w:rPr>
                <w:rFonts w:ascii="Arial" w:hAnsi="Arial" w:cs="Arial"/>
                <w:sz w:val="20"/>
                <w:szCs w:val="20"/>
                <w:lang w:val="en-GB"/>
              </w:rPr>
            </w:pPr>
            <w:r w:rsidRPr="009B39EC">
              <w:rPr>
                <w:rFonts w:ascii="Arial" w:hAnsi="Arial" w:cs="Arial"/>
                <w:sz w:val="20"/>
                <w:szCs w:val="20"/>
                <w:lang w:val="en-GB"/>
              </w:rPr>
              <w:t>If yes, please specify how</w:t>
            </w:r>
            <w:r w:rsidR="00DC5A7D" w:rsidRPr="009B39EC">
              <w:rPr>
                <w:rFonts w:ascii="Arial" w:hAnsi="Arial" w:cs="Arial"/>
                <w:sz w:val="20"/>
                <w:szCs w:val="20"/>
                <w:lang w:val="en-GB"/>
              </w:rPr>
              <w:t>:</w:t>
            </w:r>
          </w:p>
          <w:p w14:paraId="578652D5" w14:textId="22F7FC72" w:rsidR="00DC5A7D" w:rsidRPr="009B39EC" w:rsidRDefault="00DC5A7D" w:rsidP="00491D1F">
            <w:pPr>
              <w:jc w:val="both"/>
              <w:rPr>
                <w:rFonts w:ascii="Arial" w:hAnsi="Arial" w:cs="Arial"/>
                <w:sz w:val="20"/>
                <w:szCs w:val="20"/>
                <w:lang w:val="en-GB"/>
              </w:rPr>
            </w:pPr>
          </w:p>
        </w:tc>
      </w:tr>
      <w:tr w:rsidR="00CD0E91" w:rsidRPr="009B39EC" w14:paraId="07979B48" w14:textId="77777777" w:rsidTr="004860C4">
        <w:tc>
          <w:tcPr>
            <w:tcW w:w="216" w:type="pct"/>
            <w:shd w:val="clear" w:color="auto" w:fill="FBE4D5" w:themeFill="accent2" w:themeFillTint="33"/>
          </w:tcPr>
          <w:p w14:paraId="32043898" w14:textId="77777777" w:rsidR="00CD0E91" w:rsidRPr="009B39EC" w:rsidRDefault="00CD0E91" w:rsidP="00491D1F">
            <w:pPr>
              <w:jc w:val="both"/>
              <w:rPr>
                <w:rFonts w:ascii="Arial" w:hAnsi="Arial" w:cs="Arial"/>
                <w:sz w:val="20"/>
                <w:szCs w:val="20"/>
                <w:lang w:val="en-GB"/>
              </w:rPr>
            </w:pPr>
            <w:r w:rsidRPr="009B39EC">
              <w:rPr>
                <w:rFonts w:ascii="Arial" w:hAnsi="Arial" w:cs="Arial"/>
                <w:sz w:val="20"/>
                <w:szCs w:val="20"/>
                <w:lang w:val="en-GB"/>
              </w:rPr>
              <w:t>6.2</w:t>
            </w:r>
          </w:p>
        </w:tc>
        <w:tc>
          <w:tcPr>
            <w:tcW w:w="4784" w:type="pct"/>
            <w:gridSpan w:val="3"/>
            <w:shd w:val="clear" w:color="auto" w:fill="FBE4D5" w:themeFill="accent2" w:themeFillTint="33"/>
          </w:tcPr>
          <w:p w14:paraId="42572999" w14:textId="2AC6AFE8" w:rsidR="00DC5A7D" w:rsidRPr="009B39EC" w:rsidRDefault="00975ECA" w:rsidP="00DC5A7D">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DC5A7D" w:rsidRPr="009B39EC">
              <w:rPr>
                <w:rFonts w:ascii="Arial" w:hAnsi="Arial" w:cs="Arial"/>
                <w:sz w:val="20"/>
                <w:szCs w:val="20"/>
                <w:lang w:val="en-GB"/>
              </w:rPr>
              <w:t>:</w:t>
            </w:r>
          </w:p>
          <w:p w14:paraId="67CB9171" w14:textId="77777777" w:rsidR="00CD0E91" w:rsidRPr="009B39EC" w:rsidRDefault="00CD0E91" w:rsidP="00491D1F">
            <w:pPr>
              <w:jc w:val="both"/>
              <w:rPr>
                <w:rFonts w:ascii="Arial" w:hAnsi="Arial" w:cs="Arial"/>
                <w:sz w:val="20"/>
                <w:szCs w:val="20"/>
                <w:lang w:val="en-GB"/>
              </w:rPr>
            </w:pPr>
          </w:p>
        </w:tc>
      </w:tr>
      <w:tr w:rsidR="00DC5A7D" w:rsidRPr="009B39EC" w14:paraId="4093C27A" w14:textId="77777777" w:rsidTr="00047815">
        <w:tc>
          <w:tcPr>
            <w:tcW w:w="216" w:type="pct"/>
            <w:shd w:val="clear" w:color="auto" w:fill="FBE4D5" w:themeFill="accent2" w:themeFillTint="33"/>
          </w:tcPr>
          <w:p w14:paraId="5E2CDCF7"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7</w:t>
            </w:r>
          </w:p>
        </w:tc>
        <w:tc>
          <w:tcPr>
            <w:tcW w:w="3497" w:type="pct"/>
            <w:shd w:val="clear" w:color="auto" w:fill="FBE4D5" w:themeFill="accent2" w:themeFillTint="33"/>
          </w:tcPr>
          <w:p w14:paraId="18E8FE3D" w14:textId="2276CA93" w:rsidR="00DC5A7D" w:rsidRPr="009B39EC" w:rsidRDefault="002A16E9" w:rsidP="00DC5A7D">
            <w:pPr>
              <w:jc w:val="both"/>
              <w:rPr>
                <w:rFonts w:ascii="Arial" w:hAnsi="Arial" w:cs="Arial"/>
                <w:sz w:val="20"/>
                <w:szCs w:val="20"/>
                <w:lang w:val="en-GB"/>
              </w:rPr>
            </w:pPr>
            <w:r w:rsidRPr="009B39EC">
              <w:rPr>
                <w:rFonts w:ascii="Arial" w:hAnsi="Arial" w:cs="Arial"/>
                <w:sz w:val="20"/>
                <w:szCs w:val="20"/>
                <w:lang w:val="en-GB"/>
              </w:rPr>
              <w:t xml:space="preserve">Do the plan/strategy and the measures contained therein involve all relevant actors, such as </w:t>
            </w:r>
            <w:r w:rsidRPr="009B39EC">
              <w:rPr>
                <w:rStyle w:val="normal10"/>
                <w:rFonts w:ascii="Arial" w:hAnsi="Arial" w:cs="Arial"/>
                <w:sz w:val="20"/>
                <w:szCs w:val="20"/>
                <w:lang w:val="en-GB"/>
              </w:rPr>
              <w:t xml:space="preserve">government agencies, the national, </w:t>
            </w:r>
            <w:proofErr w:type="gramStart"/>
            <w:r w:rsidRPr="009B39EC">
              <w:rPr>
                <w:rStyle w:val="normal10"/>
                <w:rFonts w:ascii="Arial" w:hAnsi="Arial" w:cs="Arial"/>
                <w:sz w:val="20"/>
                <w:szCs w:val="20"/>
                <w:lang w:val="en-GB"/>
              </w:rPr>
              <w:t>regional</w:t>
            </w:r>
            <w:proofErr w:type="gramEnd"/>
            <w:r w:rsidRPr="009B39EC">
              <w:rPr>
                <w:rStyle w:val="normal10"/>
                <w:rFonts w:ascii="Arial" w:hAnsi="Arial" w:cs="Arial"/>
                <w:sz w:val="20"/>
                <w:szCs w:val="20"/>
                <w:lang w:val="en-GB"/>
              </w:rPr>
              <w:t xml:space="preserve"> and local parliaments and authorities, national human rights institutions and civil society organisations</w:t>
            </w:r>
            <w:r w:rsidR="00DC5A7D" w:rsidRPr="009B39EC">
              <w:rPr>
                <w:rFonts w:ascii="Arial" w:hAnsi="Arial" w:cs="Arial"/>
                <w:sz w:val="20"/>
                <w:szCs w:val="20"/>
                <w:lang w:val="en-GB"/>
              </w:rPr>
              <w:t>?</w:t>
            </w:r>
          </w:p>
        </w:tc>
        <w:tc>
          <w:tcPr>
            <w:tcW w:w="800" w:type="pct"/>
            <w:shd w:val="clear" w:color="auto" w:fill="FBE4D5" w:themeFill="accent2" w:themeFillTint="33"/>
          </w:tcPr>
          <w:p w14:paraId="3D6E170B" w14:textId="458BEFCC"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213107262"/>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4376D344" w14:textId="7B43142B"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619568636"/>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1E382F72" w14:textId="77777777" w:rsidTr="004860C4">
        <w:tc>
          <w:tcPr>
            <w:tcW w:w="216" w:type="pct"/>
            <w:shd w:val="clear" w:color="auto" w:fill="FBE4D5" w:themeFill="accent2" w:themeFillTint="33"/>
          </w:tcPr>
          <w:p w14:paraId="7F9895F0"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7.1</w:t>
            </w:r>
          </w:p>
        </w:tc>
        <w:tc>
          <w:tcPr>
            <w:tcW w:w="4784" w:type="pct"/>
            <w:gridSpan w:val="3"/>
            <w:shd w:val="clear" w:color="auto" w:fill="FBE4D5" w:themeFill="accent2" w:themeFillTint="33"/>
          </w:tcPr>
          <w:p w14:paraId="443598CC" w14:textId="311102FB" w:rsidR="00DC5A7D" w:rsidRPr="009B39EC" w:rsidRDefault="002A16E9" w:rsidP="00DC5A7D">
            <w:pPr>
              <w:jc w:val="both"/>
              <w:rPr>
                <w:rFonts w:ascii="Arial" w:hAnsi="Arial" w:cs="Arial"/>
                <w:sz w:val="20"/>
                <w:szCs w:val="20"/>
                <w:lang w:val="en-GB"/>
              </w:rPr>
            </w:pPr>
            <w:r w:rsidRPr="009B39EC">
              <w:rPr>
                <w:rFonts w:ascii="Arial" w:hAnsi="Arial" w:cs="Arial"/>
                <w:sz w:val="20"/>
                <w:szCs w:val="20"/>
                <w:lang w:val="en-GB"/>
              </w:rPr>
              <w:t>Please specify the actors involved</w:t>
            </w:r>
            <w:r w:rsidR="00DC5A7D" w:rsidRPr="009B39EC">
              <w:rPr>
                <w:rFonts w:ascii="Arial" w:hAnsi="Arial" w:cs="Arial"/>
                <w:sz w:val="20"/>
                <w:szCs w:val="20"/>
                <w:lang w:val="en-GB"/>
              </w:rPr>
              <w:t>:</w:t>
            </w:r>
          </w:p>
          <w:p w14:paraId="3EB41937" w14:textId="07E3AB77" w:rsidR="00DC5A7D" w:rsidRPr="009B39EC" w:rsidRDefault="00DC5A7D" w:rsidP="00DC5A7D">
            <w:pPr>
              <w:jc w:val="both"/>
              <w:rPr>
                <w:rFonts w:ascii="Arial" w:hAnsi="Arial" w:cs="Arial"/>
                <w:sz w:val="20"/>
                <w:szCs w:val="20"/>
                <w:lang w:val="en-GB"/>
              </w:rPr>
            </w:pPr>
          </w:p>
        </w:tc>
      </w:tr>
      <w:tr w:rsidR="00DC5A7D" w:rsidRPr="009B39EC" w14:paraId="0176D610" w14:textId="77777777" w:rsidTr="004860C4">
        <w:tc>
          <w:tcPr>
            <w:tcW w:w="216" w:type="pct"/>
            <w:shd w:val="clear" w:color="auto" w:fill="FBE4D5" w:themeFill="accent2" w:themeFillTint="33"/>
          </w:tcPr>
          <w:p w14:paraId="6C80E16F"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7.2</w:t>
            </w:r>
          </w:p>
        </w:tc>
        <w:tc>
          <w:tcPr>
            <w:tcW w:w="4784" w:type="pct"/>
            <w:gridSpan w:val="3"/>
            <w:shd w:val="clear" w:color="auto" w:fill="FBE4D5" w:themeFill="accent2" w:themeFillTint="33"/>
          </w:tcPr>
          <w:p w14:paraId="25D82F94" w14:textId="62606B4E" w:rsidR="00DC5A7D" w:rsidRPr="009B39EC" w:rsidRDefault="00975ECA" w:rsidP="00DC5A7D">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DC5A7D" w:rsidRPr="009B39EC">
              <w:rPr>
                <w:rFonts w:ascii="Arial" w:hAnsi="Arial" w:cs="Arial"/>
                <w:sz w:val="20"/>
                <w:szCs w:val="20"/>
                <w:lang w:val="en-GB"/>
              </w:rPr>
              <w:t>:</w:t>
            </w:r>
          </w:p>
          <w:p w14:paraId="0CCF22CD" w14:textId="1D60CE54" w:rsidR="00DC5A7D" w:rsidRPr="009B39EC" w:rsidRDefault="00DC5A7D" w:rsidP="00DC5A7D">
            <w:pPr>
              <w:jc w:val="both"/>
              <w:rPr>
                <w:rFonts w:ascii="Arial" w:hAnsi="Arial" w:cs="Arial"/>
                <w:sz w:val="20"/>
                <w:szCs w:val="20"/>
                <w:lang w:val="en-GB"/>
              </w:rPr>
            </w:pPr>
          </w:p>
        </w:tc>
      </w:tr>
      <w:tr w:rsidR="00DC5A7D" w:rsidRPr="009B39EC" w14:paraId="30F6AD8B" w14:textId="77777777" w:rsidTr="00047815">
        <w:tc>
          <w:tcPr>
            <w:tcW w:w="216" w:type="pct"/>
          </w:tcPr>
          <w:p w14:paraId="46FED125"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8</w:t>
            </w:r>
          </w:p>
        </w:tc>
        <w:tc>
          <w:tcPr>
            <w:tcW w:w="3497" w:type="pct"/>
          </w:tcPr>
          <w:p w14:paraId="38AA4E29" w14:textId="721DAA30" w:rsidR="00DC5A7D" w:rsidRPr="009B39EC" w:rsidRDefault="002A16E9" w:rsidP="00DC5A7D">
            <w:pPr>
              <w:pStyle w:val="NoSpacing"/>
              <w:jc w:val="both"/>
              <w:rPr>
                <w:rFonts w:ascii="Arial" w:hAnsi="Arial" w:cs="Arial"/>
                <w:sz w:val="20"/>
                <w:szCs w:val="20"/>
                <w:lang w:val="en-GB"/>
              </w:rPr>
            </w:pPr>
            <w:r w:rsidRPr="009B39EC">
              <w:rPr>
                <w:rFonts w:ascii="Arial" w:hAnsi="Arial" w:cs="Arial"/>
                <w:sz w:val="20"/>
                <w:szCs w:val="20"/>
                <w:lang w:val="en-GB"/>
              </w:rPr>
              <w:t>Have the authorities assigned the role of co-ordinating body to one or more fully institutionalised entities</w:t>
            </w:r>
            <w:r w:rsidR="0075041C" w:rsidRPr="009B39EC">
              <w:rPr>
                <w:rFonts w:ascii="Arial" w:hAnsi="Arial" w:cs="Arial"/>
                <w:sz w:val="20"/>
                <w:szCs w:val="20"/>
                <w:lang w:val="en-GB"/>
              </w:rPr>
              <w:t>?</w:t>
            </w:r>
          </w:p>
          <w:p w14:paraId="78855867" w14:textId="77777777" w:rsidR="00DC5A7D" w:rsidRPr="009B39EC" w:rsidRDefault="00DC5A7D" w:rsidP="00DC5A7D">
            <w:pPr>
              <w:jc w:val="both"/>
              <w:rPr>
                <w:rFonts w:ascii="Arial" w:hAnsi="Arial" w:cs="Arial"/>
                <w:sz w:val="20"/>
                <w:szCs w:val="20"/>
                <w:lang w:val="en-GB"/>
              </w:rPr>
            </w:pPr>
          </w:p>
        </w:tc>
        <w:tc>
          <w:tcPr>
            <w:tcW w:w="800" w:type="pct"/>
          </w:tcPr>
          <w:p w14:paraId="2E9D5BA2" w14:textId="25FA0FA9"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903481766"/>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c>
          <w:tcPr>
            <w:tcW w:w="487" w:type="pct"/>
          </w:tcPr>
          <w:p w14:paraId="65D12533" w14:textId="0B82C7A6"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461887492"/>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p w14:paraId="238CFD15" w14:textId="77777777" w:rsidR="00DC5A7D" w:rsidRPr="009B39EC" w:rsidRDefault="00DC5A7D" w:rsidP="00DC5A7D">
            <w:pPr>
              <w:jc w:val="both"/>
              <w:rPr>
                <w:rFonts w:ascii="Arial" w:hAnsi="Arial" w:cs="Arial"/>
                <w:sz w:val="20"/>
                <w:szCs w:val="20"/>
                <w:lang w:val="en-GB"/>
              </w:rPr>
            </w:pPr>
          </w:p>
          <w:p w14:paraId="2753091A" w14:textId="77777777" w:rsidR="0075041C" w:rsidRPr="009B39EC" w:rsidRDefault="00DC5A7D" w:rsidP="00DC5A7D">
            <w:pPr>
              <w:jc w:val="both"/>
              <w:rPr>
                <w:rFonts w:ascii="Arial" w:hAnsi="Arial" w:cs="Arial"/>
                <w:b/>
                <w:bCs/>
                <w:sz w:val="20"/>
                <w:szCs w:val="20"/>
                <w:lang w:val="en-GB"/>
              </w:rPr>
            </w:pPr>
            <w:r w:rsidRPr="009B39EC">
              <w:rPr>
                <w:rFonts w:ascii="Arial" w:hAnsi="Arial" w:cs="Arial"/>
                <w:b/>
                <w:bCs/>
                <w:sz w:val="20"/>
                <w:szCs w:val="20"/>
                <w:lang w:val="en-GB"/>
              </w:rPr>
              <w:t xml:space="preserve">N/A </w:t>
            </w:r>
            <w:sdt>
              <w:sdtPr>
                <w:rPr>
                  <w:rFonts w:ascii="Arial" w:hAnsi="Arial" w:cs="Arial"/>
                  <w:b/>
                  <w:bCs/>
                  <w:sz w:val="20"/>
                  <w:szCs w:val="20"/>
                  <w:lang w:val="en-GB"/>
                </w:rPr>
                <w:id w:val="762806967"/>
                <w14:checkbox>
                  <w14:checked w14:val="1"/>
                  <w14:checkedState w14:val="2612" w14:font="MS Gothic"/>
                  <w14:uncheckedState w14:val="2610" w14:font="MS Gothic"/>
                </w14:checkbox>
              </w:sdtPr>
              <w:sdtEndPr/>
              <w:sdtContent>
                <w:r w:rsidR="0075041C" w:rsidRPr="009B39EC">
                  <w:rPr>
                    <w:rFonts w:ascii="Segoe UI Symbol" w:eastAsia="MS Gothic" w:hAnsi="Segoe UI Symbol" w:cs="Segoe UI Symbol"/>
                    <w:b/>
                    <w:bCs/>
                    <w:sz w:val="20"/>
                    <w:szCs w:val="20"/>
                    <w:lang w:val="en-GB"/>
                  </w:rPr>
                  <w:t>☒</w:t>
                </w:r>
              </w:sdtContent>
            </w:sdt>
            <w:r w:rsidRPr="009B39EC">
              <w:rPr>
                <w:rFonts w:ascii="Arial" w:hAnsi="Arial" w:cs="Arial"/>
                <w:b/>
                <w:bCs/>
                <w:sz w:val="20"/>
                <w:szCs w:val="20"/>
                <w:lang w:val="en-GB"/>
              </w:rPr>
              <w:t xml:space="preserve"> </w:t>
            </w:r>
            <w:r w:rsidR="0075041C" w:rsidRPr="009B39EC">
              <w:rPr>
                <w:rFonts w:ascii="Arial" w:hAnsi="Arial" w:cs="Arial"/>
                <w:b/>
                <w:bCs/>
                <w:sz w:val="20"/>
                <w:szCs w:val="20"/>
                <w:lang w:val="en-GB"/>
              </w:rPr>
              <w:t xml:space="preserve"> </w:t>
            </w:r>
          </w:p>
          <w:p w14:paraId="0DAC95AC" w14:textId="20CFE930" w:rsidR="00DC5A7D" w:rsidRPr="009B39EC" w:rsidRDefault="0075041C" w:rsidP="009C6CA1">
            <w:pPr>
              <w:rPr>
                <w:rFonts w:ascii="Arial" w:hAnsi="Arial" w:cs="Arial"/>
                <w:b/>
                <w:bCs/>
                <w:sz w:val="20"/>
                <w:szCs w:val="20"/>
                <w:lang w:val="en-GB"/>
              </w:rPr>
            </w:pPr>
            <w:r w:rsidRPr="009B39EC">
              <w:rPr>
                <w:rFonts w:ascii="Arial" w:hAnsi="Arial" w:cs="Arial"/>
                <w:b/>
                <w:bCs/>
                <w:sz w:val="20"/>
                <w:szCs w:val="20"/>
                <w:lang w:val="en-GB"/>
              </w:rPr>
              <w:t>(</w:t>
            </w:r>
            <w:r w:rsidR="002A16E9" w:rsidRPr="009B39EC">
              <w:rPr>
                <w:rFonts w:ascii="Arial" w:hAnsi="Arial" w:cs="Arial"/>
                <w:b/>
                <w:bCs/>
                <w:sz w:val="20"/>
                <w:szCs w:val="20"/>
                <w:lang w:val="en-GB"/>
              </w:rPr>
              <w:t>a co-ordinating body was already established at the time of GREVIO’s baseline evaluation</w:t>
            </w:r>
            <w:r w:rsidRPr="009B39EC">
              <w:rPr>
                <w:rFonts w:ascii="Arial" w:hAnsi="Arial" w:cs="Arial"/>
                <w:b/>
                <w:bCs/>
                <w:sz w:val="20"/>
                <w:szCs w:val="20"/>
                <w:lang w:val="en-GB"/>
              </w:rPr>
              <w:t>)</w:t>
            </w:r>
          </w:p>
        </w:tc>
      </w:tr>
      <w:tr w:rsidR="00DC5A7D" w:rsidRPr="009B39EC" w14:paraId="56292D02" w14:textId="77777777" w:rsidTr="00047815">
        <w:tc>
          <w:tcPr>
            <w:tcW w:w="216" w:type="pct"/>
          </w:tcPr>
          <w:p w14:paraId="026C80F8"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8.1</w:t>
            </w:r>
          </w:p>
        </w:tc>
        <w:tc>
          <w:tcPr>
            <w:tcW w:w="3497" w:type="pct"/>
          </w:tcPr>
          <w:p w14:paraId="5A9F6377" w14:textId="44D605E6" w:rsidR="00DC5A7D" w:rsidRPr="009B39EC" w:rsidRDefault="00975ECA" w:rsidP="00DC5A7D">
            <w:pPr>
              <w:pStyle w:val="NoSpacing"/>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E93F84" w:rsidRPr="009B39EC">
              <w:rPr>
                <w:rFonts w:ascii="Arial" w:hAnsi="Arial" w:cs="Arial"/>
                <w:sz w:val="20"/>
                <w:szCs w:val="20"/>
                <w:lang w:val="en-GB"/>
              </w:rPr>
              <w:t>:</w:t>
            </w:r>
          </w:p>
          <w:p w14:paraId="66BE24B1" w14:textId="685687AA" w:rsidR="00E93F84" w:rsidRPr="009B39EC" w:rsidRDefault="00E93F84" w:rsidP="00DC5A7D">
            <w:pPr>
              <w:pStyle w:val="NoSpacing"/>
              <w:jc w:val="both"/>
              <w:rPr>
                <w:rFonts w:ascii="Arial" w:hAnsi="Arial" w:cs="Arial"/>
                <w:sz w:val="20"/>
                <w:szCs w:val="20"/>
                <w:lang w:val="en-GB"/>
              </w:rPr>
            </w:pPr>
          </w:p>
        </w:tc>
        <w:tc>
          <w:tcPr>
            <w:tcW w:w="800" w:type="pct"/>
          </w:tcPr>
          <w:p w14:paraId="2792860D" w14:textId="77777777" w:rsidR="00DC5A7D" w:rsidRPr="009B39EC" w:rsidRDefault="00DC5A7D" w:rsidP="00DC5A7D">
            <w:pPr>
              <w:jc w:val="both"/>
              <w:rPr>
                <w:rFonts w:ascii="Arial" w:hAnsi="Arial" w:cs="Arial"/>
                <w:sz w:val="20"/>
                <w:szCs w:val="20"/>
                <w:lang w:val="en-GB"/>
              </w:rPr>
            </w:pPr>
          </w:p>
        </w:tc>
        <w:tc>
          <w:tcPr>
            <w:tcW w:w="487" w:type="pct"/>
          </w:tcPr>
          <w:p w14:paraId="3B2D5BD7" w14:textId="77777777" w:rsidR="00DC5A7D" w:rsidRPr="009B39EC" w:rsidRDefault="00DC5A7D" w:rsidP="00DC5A7D">
            <w:pPr>
              <w:jc w:val="both"/>
              <w:rPr>
                <w:rFonts w:ascii="Arial" w:hAnsi="Arial" w:cs="Arial"/>
                <w:sz w:val="20"/>
                <w:szCs w:val="20"/>
                <w:lang w:val="en-GB"/>
              </w:rPr>
            </w:pPr>
          </w:p>
        </w:tc>
      </w:tr>
      <w:tr w:rsidR="00DC5A7D" w:rsidRPr="009B39EC" w14:paraId="769104AD" w14:textId="77777777" w:rsidTr="004860C4">
        <w:tc>
          <w:tcPr>
            <w:tcW w:w="216" w:type="pct"/>
          </w:tcPr>
          <w:p w14:paraId="04B080C5"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9</w:t>
            </w:r>
          </w:p>
        </w:tc>
        <w:tc>
          <w:tcPr>
            <w:tcW w:w="4784" w:type="pct"/>
            <w:gridSpan w:val="3"/>
          </w:tcPr>
          <w:p w14:paraId="36D4AAE6" w14:textId="138031DE" w:rsidR="00E93F84" w:rsidRPr="009B39EC" w:rsidRDefault="00D64073" w:rsidP="00E93F84">
            <w:pPr>
              <w:jc w:val="both"/>
              <w:rPr>
                <w:rFonts w:ascii="Arial" w:hAnsi="Arial" w:cs="Arial"/>
                <w:sz w:val="20"/>
                <w:szCs w:val="20"/>
                <w:lang w:val="en-GB"/>
              </w:rPr>
            </w:pPr>
            <w:r w:rsidRPr="009B39EC">
              <w:rPr>
                <w:rFonts w:ascii="Arial" w:hAnsi="Arial" w:cs="Arial"/>
                <w:sz w:val="20"/>
                <w:szCs w:val="20"/>
                <w:lang w:val="en-GB"/>
              </w:rPr>
              <w:t>Please specify the mandate, powers, and competences, as well as the composition, of the co-ordinating body/bodies</w:t>
            </w:r>
            <w:r w:rsidR="00E93F84" w:rsidRPr="009B39EC">
              <w:rPr>
                <w:rFonts w:ascii="Arial" w:hAnsi="Arial" w:cs="Arial"/>
                <w:sz w:val="20"/>
                <w:szCs w:val="20"/>
                <w:lang w:val="en-GB"/>
              </w:rPr>
              <w:t>:</w:t>
            </w:r>
          </w:p>
          <w:p w14:paraId="3A3811A1" w14:textId="77777777" w:rsidR="00E93F84" w:rsidRPr="009B39EC" w:rsidRDefault="00E93F84" w:rsidP="00E93F84">
            <w:pPr>
              <w:jc w:val="both"/>
              <w:rPr>
                <w:rFonts w:ascii="Arial" w:hAnsi="Arial" w:cs="Arial"/>
                <w:sz w:val="20"/>
                <w:szCs w:val="20"/>
                <w:lang w:val="en-GB"/>
              </w:rPr>
            </w:pPr>
          </w:p>
          <w:p w14:paraId="6364A952" w14:textId="4A896F25" w:rsidR="00761E63" w:rsidRPr="009B39EC" w:rsidRDefault="006D66D8" w:rsidP="00761E63">
            <w:pPr>
              <w:jc w:val="both"/>
              <w:rPr>
                <w:rFonts w:ascii="Arial" w:hAnsi="Arial" w:cs="Arial"/>
                <w:sz w:val="20"/>
                <w:szCs w:val="20"/>
                <w:lang w:val="en-GB"/>
              </w:rPr>
            </w:pPr>
            <w:r w:rsidRPr="009B39EC">
              <w:rPr>
                <w:rFonts w:ascii="Arial" w:hAnsi="Arial" w:cs="Arial"/>
                <w:b/>
                <w:bCs/>
                <w:sz w:val="20"/>
                <w:szCs w:val="20"/>
                <w:lang w:val="en-GB"/>
              </w:rPr>
              <w:t>The Ministry of Health and Social Protection</w:t>
            </w:r>
            <w:r w:rsidR="00E93F84" w:rsidRPr="009B39EC">
              <w:rPr>
                <w:rFonts w:ascii="Arial" w:hAnsi="Arial" w:cs="Arial"/>
                <w:b/>
                <w:bCs/>
                <w:sz w:val="20"/>
                <w:szCs w:val="20"/>
                <w:lang w:val="en-GB"/>
              </w:rPr>
              <w:t xml:space="preserve"> (M</w:t>
            </w:r>
            <w:r w:rsidRPr="009B39EC">
              <w:rPr>
                <w:rFonts w:ascii="Arial" w:hAnsi="Arial" w:cs="Arial"/>
                <w:b/>
                <w:bCs/>
                <w:sz w:val="20"/>
                <w:szCs w:val="20"/>
                <w:lang w:val="en-GB"/>
              </w:rPr>
              <w:t>HSP</w:t>
            </w:r>
            <w:r w:rsidR="00E93F84" w:rsidRPr="009B39EC">
              <w:rPr>
                <w:rFonts w:ascii="Arial" w:hAnsi="Arial" w:cs="Arial"/>
                <w:b/>
                <w:bCs/>
                <w:sz w:val="20"/>
                <w:szCs w:val="20"/>
                <w:lang w:val="en-GB"/>
              </w:rPr>
              <w:t>)</w:t>
            </w:r>
            <w:r w:rsidR="00D64073" w:rsidRPr="009B39EC">
              <w:rPr>
                <w:rFonts w:ascii="Arial" w:hAnsi="Arial" w:cs="Arial"/>
                <w:b/>
                <w:bCs/>
                <w:sz w:val="20"/>
                <w:szCs w:val="20"/>
                <w:lang w:val="en-GB"/>
              </w:rPr>
              <w:t>:</w:t>
            </w:r>
            <w:r w:rsidR="00D64073" w:rsidRPr="009B39EC">
              <w:rPr>
                <w:rFonts w:ascii="Arial" w:hAnsi="Arial" w:cs="Arial"/>
                <w:bCs/>
                <w:sz w:val="20"/>
                <w:szCs w:val="20"/>
                <w:lang w:val="en-GB"/>
              </w:rPr>
              <w:t xml:space="preserve"> </w:t>
            </w:r>
            <w:r w:rsidR="00631587" w:rsidRPr="009B39EC">
              <w:rPr>
                <w:rFonts w:ascii="Arial" w:hAnsi="Arial" w:cs="Arial"/>
                <w:bCs/>
                <w:sz w:val="20"/>
                <w:szCs w:val="20"/>
                <w:lang w:val="en-GB"/>
              </w:rPr>
              <w:t>A</w:t>
            </w:r>
            <w:r w:rsidR="00D64073" w:rsidRPr="009B39EC">
              <w:rPr>
                <w:rFonts w:ascii="Arial" w:hAnsi="Arial" w:cs="Arial"/>
                <w:bCs/>
                <w:sz w:val="20"/>
                <w:szCs w:val="20"/>
                <w:lang w:val="en-GB"/>
              </w:rPr>
              <w:t xml:space="preserve">s of September </w:t>
            </w:r>
            <w:r w:rsidR="00E93F84" w:rsidRPr="009B39EC">
              <w:rPr>
                <w:rFonts w:ascii="Arial" w:hAnsi="Arial" w:cs="Arial"/>
                <w:sz w:val="20"/>
                <w:szCs w:val="20"/>
                <w:lang w:val="en-GB"/>
              </w:rPr>
              <w:t>2017</w:t>
            </w:r>
            <w:r w:rsidR="00D64073" w:rsidRPr="009B39EC">
              <w:rPr>
                <w:rFonts w:ascii="Arial" w:hAnsi="Arial" w:cs="Arial"/>
                <w:sz w:val="20"/>
                <w:szCs w:val="20"/>
                <w:lang w:val="en-GB"/>
              </w:rPr>
              <w:t xml:space="preserve">, in addition to </w:t>
            </w:r>
            <w:r w:rsidR="00631587" w:rsidRPr="009B39EC">
              <w:rPr>
                <w:rFonts w:ascii="Arial" w:hAnsi="Arial" w:cs="Arial"/>
                <w:sz w:val="20"/>
                <w:szCs w:val="20"/>
                <w:lang w:val="en-GB"/>
              </w:rPr>
              <w:t xml:space="preserve">its responsibilities in the field of </w:t>
            </w:r>
            <w:r w:rsidR="00D64073" w:rsidRPr="009B39EC">
              <w:rPr>
                <w:rFonts w:ascii="Arial" w:hAnsi="Arial" w:cs="Arial"/>
                <w:sz w:val="20"/>
                <w:szCs w:val="20"/>
                <w:lang w:val="en-GB"/>
              </w:rPr>
              <w:t>health</w:t>
            </w:r>
            <w:r w:rsidR="00631587" w:rsidRPr="009B39EC">
              <w:rPr>
                <w:rFonts w:ascii="Arial" w:hAnsi="Arial" w:cs="Arial"/>
                <w:sz w:val="20"/>
                <w:szCs w:val="20"/>
                <w:lang w:val="en-GB"/>
              </w:rPr>
              <w:t>care</w:t>
            </w:r>
            <w:r w:rsidR="00D64073" w:rsidRPr="009B39EC">
              <w:rPr>
                <w:rFonts w:ascii="Arial" w:hAnsi="Arial" w:cs="Arial"/>
                <w:sz w:val="20"/>
                <w:szCs w:val="20"/>
                <w:lang w:val="en-GB"/>
              </w:rPr>
              <w:t xml:space="preserve">, the MHSP is also </w:t>
            </w:r>
            <w:r w:rsidR="00E1293D" w:rsidRPr="009B39EC">
              <w:rPr>
                <w:rFonts w:ascii="Arial" w:hAnsi="Arial" w:cs="Arial"/>
                <w:sz w:val="20"/>
                <w:szCs w:val="20"/>
                <w:lang w:val="en-GB"/>
              </w:rPr>
              <w:t>in charge of developing</w:t>
            </w:r>
            <w:r w:rsidR="00D64073" w:rsidRPr="009B39EC">
              <w:rPr>
                <w:rFonts w:ascii="Arial" w:hAnsi="Arial" w:cs="Arial"/>
                <w:sz w:val="20"/>
                <w:szCs w:val="20"/>
                <w:lang w:val="en-GB"/>
              </w:rPr>
              <w:t xml:space="preserve"> policies addressing gender-based violence, </w:t>
            </w:r>
            <w:r w:rsidR="00631587" w:rsidRPr="009B39EC">
              <w:rPr>
                <w:rFonts w:ascii="Arial" w:hAnsi="Arial" w:cs="Arial"/>
                <w:sz w:val="20"/>
                <w:szCs w:val="20"/>
                <w:lang w:val="en-GB"/>
              </w:rPr>
              <w:t>violence against</w:t>
            </w:r>
            <w:r w:rsidR="00D64073" w:rsidRPr="009B39EC">
              <w:rPr>
                <w:rFonts w:ascii="Arial" w:hAnsi="Arial" w:cs="Arial"/>
                <w:sz w:val="20"/>
                <w:szCs w:val="20"/>
                <w:lang w:val="en-GB"/>
              </w:rPr>
              <w:t xml:space="preserve"> children, women, and other groups, gender equality, </w:t>
            </w:r>
            <w:r w:rsidR="00D64073" w:rsidRPr="009B39EC">
              <w:rPr>
                <w:rFonts w:ascii="Arial" w:hAnsi="Arial" w:cs="Arial"/>
                <w:sz w:val="20"/>
                <w:szCs w:val="20"/>
                <w:lang w:val="en-GB"/>
              </w:rPr>
              <w:lastRenderedPageBreak/>
              <w:t xml:space="preserve">protection of the rights of children, non-discrimination on grounds of sexual orientation, disability, ethnicity etc. This means that the responsibilities in relation to gender equality issues and fight against domestic violence were transferred from the former Ministry of Social Welfare and Youth </w:t>
            </w:r>
            <w:r w:rsidR="00E93F84" w:rsidRPr="009B39EC">
              <w:rPr>
                <w:rFonts w:ascii="Arial" w:hAnsi="Arial" w:cs="Arial"/>
                <w:sz w:val="20"/>
                <w:szCs w:val="20"/>
                <w:lang w:val="en-GB"/>
              </w:rPr>
              <w:t>(</w:t>
            </w:r>
            <w:r w:rsidR="00D64073" w:rsidRPr="009B39EC">
              <w:rPr>
                <w:rFonts w:ascii="Arial" w:hAnsi="Arial" w:cs="Arial"/>
                <w:sz w:val="20"/>
                <w:szCs w:val="20"/>
                <w:lang w:val="en-GB"/>
              </w:rPr>
              <w:t xml:space="preserve">September </w:t>
            </w:r>
            <w:r w:rsidR="00E93F84" w:rsidRPr="009B39EC">
              <w:rPr>
                <w:rFonts w:ascii="Arial" w:hAnsi="Arial" w:cs="Arial"/>
                <w:sz w:val="20"/>
                <w:szCs w:val="20"/>
                <w:lang w:val="en-GB"/>
              </w:rPr>
              <w:t>2013</w:t>
            </w:r>
            <w:r w:rsidR="0056693E" w:rsidRPr="009B39EC">
              <w:rPr>
                <w:rFonts w:ascii="Arial" w:hAnsi="Arial" w:cs="Arial"/>
                <w:sz w:val="20"/>
                <w:szCs w:val="20"/>
                <w:lang w:val="en-GB"/>
              </w:rPr>
              <w:t>-</w:t>
            </w:r>
            <w:r w:rsidR="00D64073" w:rsidRPr="009B39EC">
              <w:rPr>
                <w:rFonts w:ascii="Arial" w:hAnsi="Arial" w:cs="Arial"/>
                <w:sz w:val="20"/>
                <w:szCs w:val="20"/>
                <w:lang w:val="en-GB"/>
              </w:rPr>
              <w:t xml:space="preserve">September </w:t>
            </w:r>
            <w:r w:rsidR="00E93F84" w:rsidRPr="009B39EC">
              <w:rPr>
                <w:rFonts w:ascii="Arial" w:hAnsi="Arial" w:cs="Arial"/>
                <w:sz w:val="20"/>
                <w:szCs w:val="20"/>
                <w:lang w:val="en-GB"/>
              </w:rPr>
              <w:t>2017) t</w:t>
            </w:r>
            <w:r w:rsidR="00D64073" w:rsidRPr="009B39EC">
              <w:rPr>
                <w:rFonts w:ascii="Arial" w:hAnsi="Arial" w:cs="Arial"/>
                <w:sz w:val="20"/>
                <w:szCs w:val="20"/>
                <w:lang w:val="en-GB"/>
              </w:rPr>
              <w:t>o the Ministry of Health and Social Protection</w:t>
            </w:r>
            <w:r w:rsidR="00E93F84" w:rsidRPr="009B39EC">
              <w:rPr>
                <w:rFonts w:ascii="Arial" w:hAnsi="Arial" w:cs="Arial"/>
                <w:sz w:val="20"/>
                <w:szCs w:val="20"/>
                <w:lang w:val="en-GB"/>
              </w:rPr>
              <w:t xml:space="preserve"> (</w:t>
            </w:r>
            <w:r w:rsidR="00D64073" w:rsidRPr="009B39EC">
              <w:rPr>
                <w:rFonts w:ascii="Arial" w:hAnsi="Arial" w:cs="Arial"/>
                <w:sz w:val="20"/>
                <w:szCs w:val="20"/>
                <w:lang w:val="en-GB"/>
              </w:rPr>
              <w:t>September</w:t>
            </w:r>
            <w:r w:rsidR="00E93F84" w:rsidRPr="009B39EC">
              <w:rPr>
                <w:rFonts w:ascii="Arial" w:hAnsi="Arial" w:cs="Arial"/>
                <w:sz w:val="20"/>
                <w:szCs w:val="20"/>
                <w:lang w:val="en-GB"/>
              </w:rPr>
              <w:t xml:space="preserve"> 2017 </w:t>
            </w:r>
            <w:r w:rsidR="00D64073" w:rsidRPr="009B39EC">
              <w:rPr>
                <w:rFonts w:ascii="Arial" w:hAnsi="Arial" w:cs="Arial"/>
                <w:sz w:val="20"/>
                <w:szCs w:val="20"/>
                <w:lang w:val="en-GB"/>
              </w:rPr>
              <w:t>to present</w:t>
            </w:r>
            <w:r w:rsidR="00E93F84" w:rsidRPr="009B39EC">
              <w:rPr>
                <w:rFonts w:ascii="Arial" w:hAnsi="Arial" w:cs="Arial"/>
                <w:sz w:val="20"/>
                <w:szCs w:val="20"/>
                <w:lang w:val="en-GB"/>
              </w:rPr>
              <w:t xml:space="preserve">). </w:t>
            </w:r>
            <w:r w:rsidR="00D64073" w:rsidRPr="009B39EC">
              <w:rPr>
                <w:rFonts w:ascii="Arial" w:hAnsi="Arial" w:cs="Arial"/>
                <w:sz w:val="20"/>
                <w:szCs w:val="20"/>
                <w:lang w:val="en-GB"/>
              </w:rPr>
              <w:t xml:space="preserve">These responsibilities are </w:t>
            </w:r>
            <w:r w:rsidR="00761E63" w:rsidRPr="009B39EC">
              <w:rPr>
                <w:rFonts w:ascii="Arial" w:hAnsi="Arial" w:cs="Arial"/>
                <w:sz w:val="20"/>
                <w:szCs w:val="20"/>
                <w:lang w:val="en-GB"/>
              </w:rPr>
              <w:t xml:space="preserve">carried out </w:t>
            </w:r>
            <w:r w:rsidR="0022400F" w:rsidRPr="009B39EC">
              <w:rPr>
                <w:rFonts w:ascii="Arial" w:hAnsi="Arial" w:cs="Arial"/>
                <w:sz w:val="20"/>
                <w:szCs w:val="20"/>
                <w:lang w:val="en-GB"/>
              </w:rPr>
              <w:t xml:space="preserve">by the Section on Policy and Strategies on </w:t>
            </w:r>
            <w:r w:rsidR="008B5A68" w:rsidRPr="009B39EC">
              <w:rPr>
                <w:rFonts w:ascii="Arial" w:hAnsi="Arial" w:cs="Arial"/>
                <w:sz w:val="20"/>
                <w:szCs w:val="20"/>
                <w:lang w:val="en-GB"/>
              </w:rPr>
              <w:t xml:space="preserve">Social Inclusion and Gender Equality </w:t>
            </w:r>
            <w:r w:rsidR="006D68B9" w:rsidRPr="009B39EC">
              <w:rPr>
                <w:rFonts w:ascii="Arial" w:hAnsi="Arial" w:cs="Arial"/>
                <w:sz w:val="20"/>
                <w:szCs w:val="20"/>
                <w:lang w:val="en-GB"/>
              </w:rPr>
              <w:t>within</w:t>
            </w:r>
            <w:r w:rsidR="005930EB" w:rsidRPr="009B39EC">
              <w:rPr>
                <w:rFonts w:ascii="Arial" w:hAnsi="Arial" w:cs="Arial"/>
                <w:sz w:val="20"/>
                <w:szCs w:val="20"/>
                <w:lang w:val="en-GB"/>
              </w:rPr>
              <w:t xml:space="preserve"> </w:t>
            </w:r>
            <w:r w:rsidR="008B5A68" w:rsidRPr="009B39EC">
              <w:rPr>
                <w:rFonts w:ascii="Arial" w:hAnsi="Arial" w:cs="Arial"/>
                <w:sz w:val="20"/>
                <w:szCs w:val="20"/>
                <w:lang w:val="en-GB"/>
              </w:rPr>
              <w:t xml:space="preserve">the </w:t>
            </w:r>
            <w:r w:rsidR="00CB6FF2" w:rsidRPr="009B39EC">
              <w:rPr>
                <w:rFonts w:ascii="Arial" w:hAnsi="Arial" w:cs="Arial"/>
                <w:sz w:val="20"/>
                <w:szCs w:val="20"/>
                <w:lang w:val="en-GB"/>
              </w:rPr>
              <w:t xml:space="preserve">Department for </w:t>
            </w:r>
            <w:r w:rsidR="008B5A68" w:rsidRPr="009B39EC">
              <w:rPr>
                <w:rFonts w:ascii="Arial" w:hAnsi="Arial" w:cs="Arial"/>
                <w:sz w:val="20"/>
                <w:szCs w:val="20"/>
                <w:lang w:val="en-GB"/>
              </w:rPr>
              <w:t>Polic</w:t>
            </w:r>
            <w:r w:rsidR="005930EB" w:rsidRPr="009B39EC">
              <w:rPr>
                <w:rFonts w:ascii="Arial" w:hAnsi="Arial" w:cs="Arial"/>
                <w:sz w:val="20"/>
                <w:szCs w:val="20"/>
                <w:lang w:val="en-GB"/>
              </w:rPr>
              <w:t xml:space="preserve">y and </w:t>
            </w:r>
            <w:r w:rsidR="008B5A68" w:rsidRPr="009B39EC">
              <w:rPr>
                <w:rFonts w:ascii="Arial" w:hAnsi="Arial" w:cs="Arial"/>
                <w:sz w:val="20"/>
                <w:szCs w:val="20"/>
                <w:lang w:val="en-GB"/>
              </w:rPr>
              <w:t xml:space="preserve">Development of Health </w:t>
            </w:r>
            <w:r w:rsidR="006D68B9" w:rsidRPr="009B39EC">
              <w:rPr>
                <w:rFonts w:ascii="Arial" w:hAnsi="Arial" w:cs="Arial"/>
                <w:sz w:val="20"/>
                <w:szCs w:val="20"/>
                <w:lang w:val="en-GB"/>
              </w:rPr>
              <w:t xml:space="preserve">Care </w:t>
            </w:r>
            <w:r w:rsidR="008B5A68" w:rsidRPr="009B39EC">
              <w:rPr>
                <w:rFonts w:ascii="Arial" w:hAnsi="Arial" w:cs="Arial"/>
                <w:sz w:val="20"/>
                <w:szCs w:val="20"/>
                <w:lang w:val="en-GB"/>
              </w:rPr>
              <w:t xml:space="preserve">and Social Protection </w:t>
            </w:r>
            <w:r w:rsidR="005930EB" w:rsidRPr="009B39EC">
              <w:rPr>
                <w:rFonts w:ascii="Arial" w:hAnsi="Arial" w:cs="Arial"/>
                <w:sz w:val="20"/>
                <w:szCs w:val="20"/>
                <w:lang w:val="en-GB"/>
              </w:rPr>
              <w:t xml:space="preserve">Directorate under </w:t>
            </w:r>
            <w:r w:rsidR="008B5A68" w:rsidRPr="009B39EC">
              <w:rPr>
                <w:rFonts w:ascii="Arial" w:hAnsi="Arial" w:cs="Arial"/>
                <w:sz w:val="20"/>
                <w:szCs w:val="20"/>
                <w:lang w:val="en-GB"/>
              </w:rPr>
              <w:t>the General Directorate for</w:t>
            </w:r>
            <w:r w:rsidR="005930EB" w:rsidRPr="009B39EC">
              <w:rPr>
                <w:rFonts w:ascii="Arial" w:hAnsi="Arial" w:cs="Arial"/>
                <w:sz w:val="20"/>
                <w:szCs w:val="20"/>
                <w:lang w:val="en-GB"/>
              </w:rPr>
              <w:t xml:space="preserve"> </w:t>
            </w:r>
            <w:r w:rsidR="008B5A68" w:rsidRPr="009B39EC">
              <w:rPr>
                <w:rFonts w:ascii="Arial" w:hAnsi="Arial" w:cs="Arial"/>
                <w:sz w:val="20"/>
                <w:szCs w:val="20"/>
                <w:lang w:val="en-GB"/>
              </w:rPr>
              <w:t>Polic</w:t>
            </w:r>
            <w:r w:rsidR="005930EB" w:rsidRPr="009B39EC">
              <w:rPr>
                <w:rFonts w:ascii="Arial" w:hAnsi="Arial" w:cs="Arial"/>
                <w:sz w:val="20"/>
                <w:szCs w:val="20"/>
                <w:lang w:val="en-GB"/>
              </w:rPr>
              <w:t>ies</w:t>
            </w:r>
            <w:r w:rsidR="008B5A68" w:rsidRPr="009B39EC">
              <w:rPr>
                <w:rFonts w:ascii="Arial" w:hAnsi="Arial" w:cs="Arial"/>
                <w:sz w:val="20"/>
                <w:szCs w:val="20"/>
                <w:lang w:val="en-GB"/>
              </w:rPr>
              <w:t xml:space="preserve"> and Development of Health and Social Protection</w:t>
            </w:r>
            <w:r w:rsidR="00E93F84" w:rsidRPr="009B39EC">
              <w:rPr>
                <w:rFonts w:ascii="Arial" w:hAnsi="Arial" w:cs="Arial"/>
                <w:sz w:val="20"/>
                <w:szCs w:val="20"/>
                <w:lang w:val="en-GB"/>
              </w:rPr>
              <w:t>.</w:t>
            </w:r>
            <w:r w:rsidR="00761E63" w:rsidRPr="009B39EC">
              <w:rPr>
                <w:rFonts w:ascii="Arial" w:hAnsi="Arial" w:cs="Arial"/>
                <w:sz w:val="20"/>
                <w:szCs w:val="20"/>
                <w:lang w:val="en-GB"/>
              </w:rPr>
              <w:t xml:space="preserve"> </w:t>
            </w:r>
            <w:r w:rsidR="00907CD1" w:rsidRPr="009B39EC">
              <w:rPr>
                <w:rFonts w:ascii="Arial" w:hAnsi="Arial" w:cs="Arial"/>
                <w:sz w:val="20"/>
                <w:szCs w:val="20"/>
                <w:lang w:val="en-GB"/>
              </w:rPr>
              <w:t xml:space="preserve">The amendments of </w:t>
            </w:r>
            <w:r w:rsidR="00761E63" w:rsidRPr="009B39EC">
              <w:rPr>
                <w:rFonts w:ascii="Arial" w:hAnsi="Arial" w:cs="Arial"/>
                <w:sz w:val="20"/>
                <w:szCs w:val="20"/>
                <w:lang w:val="en-GB"/>
              </w:rPr>
              <w:t xml:space="preserve">the </w:t>
            </w:r>
            <w:r w:rsidR="00907CD1" w:rsidRPr="009B39EC">
              <w:rPr>
                <w:rFonts w:ascii="Arial" w:hAnsi="Arial" w:cs="Arial"/>
                <w:sz w:val="20"/>
                <w:szCs w:val="20"/>
                <w:lang w:val="en-GB"/>
              </w:rPr>
              <w:t>L</w:t>
            </w:r>
            <w:r w:rsidR="00761E63" w:rsidRPr="009B39EC">
              <w:rPr>
                <w:rFonts w:ascii="Arial" w:hAnsi="Arial" w:cs="Arial"/>
                <w:sz w:val="20"/>
                <w:szCs w:val="20"/>
                <w:lang w:val="en-GB"/>
              </w:rPr>
              <w:t>aw 9669/2016 “</w:t>
            </w:r>
            <w:r w:rsidR="00B45A2C" w:rsidRPr="009B39EC">
              <w:rPr>
                <w:rFonts w:ascii="Arial" w:hAnsi="Arial" w:cs="Arial"/>
                <w:sz w:val="20"/>
                <w:szCs w:val="20"/>
                <w:lang w:val="en-GB"/>
              </w:rPr>
              <w:t xml:space="preserve">On measures against violence in family relations” </w:t>
            </w:r>
            <w:r w:rsidR="00907CD1" w:rsidRPr="009B39EC">
              <w:rPr>
                <w:rFonts w:ascii="Arial" w:hAnsi="Arial" w:cs="Arial"/>
                <w:sz w:val="20"/>
                <w:szCs w:val="20"/>
                <w:lang w:val="en-GB"/>
              </w:rPr>
              <w:t xml:space="preserve">applied in 2018 through the </w:t>
            </w:r>
            <w:r w:rsidR="00B45A2C" w:rsidRPr="009B39EC">
              <w:rPr>
                <w:rFonts w:ascii="Arial" w:hAnsi="Arial" w:cs="Arial"/>
                <w:sz w:val="20"/>
                <w:szCs w:val="20"/>
                <w:lang w:val="en-GB"/>
              </w:rPr>
              <w:t>Law No. 47/</w:t>
            </w:r>
            <w:proofErr w:type="gramStart"/>
            <w:r w:rsidR="00B45A2C" w:rsidRPr="009B39EC">
              <w:rPr>
                <w:rFonts w:ascii="Arial" w:hAnsi="Arial" w:cs="Arial"/>
                <w:sz w:val="20"/>
                <w:szCs w:val="20"/>
                <w:lang w:val="en-GB"/>
              </w:rPr>
              <w:t>2018</w:t>
            </w:r>
            <w:r w:rsidR="00907CD1" w:rsidRPr="009B39EC">
              <w:rPr>
                <w:rFonts w:ascii="Arial" w:hAnsi="Arial" w:cs="Arial"/>
                <w:sz w:val="20"/>
                <w:szCs w:val="20"/>
                <w:lang w:val="en-GB"/>
              </w:rPr>
              <w:t xml:space="preserve">, </w:t>
            </w:r>
            <w:r w:rsidR="00761E63" w:rsidRPr="009B39EC">
              <w:rPr>
                <w:rFonts w:ascii="Arial" w:hAnsi="Arial" w:cs="Arial"/>
                <w:sz w:val="20"/>
                <w:szCs w:val="20"/>
                <w:lang w:val="en-GB"/>
              </w:rPr>
              <w:t xml:space="preserve"> </w:t>
            </w:r>
            <w:r w:rsidR="00907CD1" w:rsidRPr="009B39EC">
              <w:rPr>
                <w:rFonts w:ascii="Arial" w:hAnsi="Arial" w:cs="Arial"/>
                <w:sz w:val="20"/>
                <w:szCs w:val="20"/>
                <w:lang w:val="en-GB"/>
              </w:rPr>
              <w:t>enabled</w:t>
            </w:r>
            <w:proofErr w:type="gramEnd"/>
            <w:r w:rsidR="00907CD1" w:rsidRPr="009B39EC">
              <w:rPr>
                <w:rFonts w:ascii="Arial" w:hAnsi="Arial" w:cs="Arial"/>
                <w:sz w:val="20"/>
                <w:szCs w:val="20"/>
                <w:lang w:val="en-GB"/>
              </w:rPr>
              <w:t xml:space="preserve"> a</w:t>
            </w:r>
            <w:r w:rsidR="00761E63" w:rsidRPr="009B39EC">
              <w:rPr>
                <w:rFonts w:ascii="Arial" w:hAnsi="Arial" w:cs="Arial"/>
                <w:sz w:val="20"/>
                <w:szCs w:val="20"/>
                <w:lang w:val="en-GB"/>
              </w:rPr>
              <w:t xml:space="preserve"> better integrat</w:t>
            </w:r>
            <w:r w:rsidR="00907CD1" w:rsidRPr="009B39EC">
              <w:rPr>
                <w:rFonts w:ascii="Arial" w:hAnsi="Arial" w:cs="Arial"/>
                <w:sz w:val="20"/>
                <w:szCs w:val="20"/>
                <w:lang w:val="en-GB"/>
              </w:rPr>
              <w:t>ion of</w:t>
            </w:r>
            <w:r w:rsidR="00761E63" w:rsidRPr="009B39EC">
              <w:rPr>
                <w:rFonts w:ascii="Arial" w:hAnsi="Arial" w:cs="Arial"/>
                <w:sz w:val="20"/>
                <w:szCs w:val="20"/>
                <w:lang w:val="en-GB"/>
              </w:rPr>
              <w:t xml:space="preserve"> the principles and standar</w:t>
            </w:r>
            <w:r w:rsidR="00907CD1" w:rsidRPr="009B39EC">
              <w:rPr>
                <w:rFonts w:ascii="Arial" w:hAnsi="Arial" w:cs="Arial"/>
                <w:sz w:val="20"/>
                <w:szCs w:val="20"/>
                <w:lang w:val="en-GB"/>
              </w:rPr>
              <w:t>d</w:t>
            </w:r>
            <w:r w:rsidR="00761E63" w:rsidRPr="009B39EC">
              <w:rPr>
                <w:rFonts w:ascii="Arial" w:hAnsi="Arial" w:cs="Arial"/>
                <w:sz w:val="20"/>
                <w:szCs w:val="20"/>
                <w:lang w:val="en-GB"/>
              </w:rPr>
              <w:t>s of the Istanbul Convention</w:t>
            </w:r>
            <w:r w:rsidR="00907CD1" w:rsidRPr="009B39EC">
              <w:rPr>
                <w:rFonts w:ascii="Arial" w:hAnsi="Arial" w:cs="Arial"/>
                <w:sz w:val="20"/>
                <w:szCs w:val="20"/>
                <w:lang w:val="en-GB"/>
              </w:rPr>
              <w:t xml:space="preserve">, as suggested from respective </w:t>
            </w:r>
            <w:proofErr w:type="spellStart"/>
            <w:r w:rsidR="00907CD1" w:rsidRPr="009B39EC">
              <w:rPr>
                <w:rFonts w:ascii="Arial" w:hAnsi="Arial" w:cs="Arial"/>
                <w:sz w:val="20"/>
                <w:szCs w:val="20"/>
                <w:lang w:val="en-GB"/>
              </w:rPr>
              <w:t>reccomendations</w:t>
            </w:r>
            <w:proofErr w:type="spellEnd"/>
            <w:r w:rsidR="00761E63" w:rsidRPr="009B39EC">
              <w:rPr>
                <w:rFonts w:ascii="Arial" w:hAnsi="Arial" w:cs="Arial"/>
                <w:sz w:val="20"/>
                <w:szCs w:val="20"/>
                <w:lang w:val="en-GB"/>
              </w:rPr>
              <w:t>. These amendments int</w:t>
            </w:r>
            <w:r w:rsidR="003E133A" w:rsidRPr="009B39EC">
              <w:rPr>
                <w:rFonts w:ascii="Arial" w:hAnsi="Arial" w:cs="Arial"/>
                <w:sz w:val="20"/>
                <w:szCs w:val="20"/>
                <w:lang w:val="en-GB"/>
              </w:rPr>
              <w:t>er</w:t>
            </w:r>
            <w:r w:rsidR="00761E63" w:rsidRPr="009B39EC">
              <w:rPr>
                <w:rFonts w:ascii="Arial" w:hAnsi="Arial" w:cs="Arial"/>
                <w:sz w:val="20"/>
                <w:szCs w:val="20"/>
                <w:lang w:val="en-GB"/>
              </w:rPr>
              <w:t xml:space="preserve"> alia expanded the mandate of the MHSP with regards to coordination, implementation and monitoring of policies related to prevention and fight against domestic violence. </w:t>
            </w:r>
          </w:p>
          <w:p w14:paraId="267A7EF3" w14:textId="77777777" w:rsidR="00E93F84" w:rsidRPr="009B39EC" w:rsidRDefault="00E93F84" w:rsidP="00E93F84">
            <w:pPr>
              <w:jc w:val="both"/>
              <w:rPr>
                <w:rFonts w:ascii="Arial" w:hAnsi="Arial" w:cs="Arial"/>
                <w:sz w:val="20"/>
                <w:szCs w:val="20"/>
                <w:lang w:val="en-GB"/>
              </w:rPr>
            </w:pPr>
          </w:p>
          <w:p w14:paraId="659C3EE5" w14:textId="3FABD424" w:rsidR="00E93F84" w:rsidRPr="009B39EC" w:rsidRDefault="008B5A68" w:rsidP="00E93F84">
            <w:pPr>
              <w:jc w:val="both"/>
              <w:rPr>
                <w:rFonts w:ascii="Arial" w:hAnsi="Arial" w:cs="Arial"/>
                <w:sz w:val="20"/>
                <w:szCs w:val="20"/>
                <w:lang w:val="en-GB"/>
              </w:rPr>
            </w:pPr>
            <w:r w:rsidRPr="009B39EC">
              <w:rPr>
                <w:rFonts w:ascii="Arial" w:hAnsi="Arial" w:cs="Arial"/>
                <w:sz w:val="20"/>
                <w:szCs w:val="20"/>
                <w:lang w:val="en-GB"/>
              </w:rPr>
              <w:t>Other important bodies</w:t>
            </w:r>
            <w:r w:rsidR="00E93F84" w:rsidRPr="009B39EC">
              <w:rPr>
                <w:rFonts w:ascii="Arial" w:hAnsi="Arial" w:cs="Arial"/>
                <w:sz w:val="20"/>
                <w:szCs w:val="20"/>
                <w:lang w:val="en-GB"/>
              </w:rPr>
              <w:t>:</w:t>
            </w:r>
          </w:p>
          <w:p w14:paraId="5FA92A34" w14:textId="133403BB" w:rsidR="00E93F84" w:rsidRPr="009B39EC" w:rsidRDefault="0056693E" w:rsidP="00E93F84">
            <w:pPr>
              <w:jc w:val="both"/>
              <w:rPr>
                <w:rFonts w:ascii="Arial" w:hAnsi="Arial" w:cs="Arial"/>
                <w:sz w:val="20"/>
                <w:szCs w:val="20"/>
                <w:lang w:val="en-GB"/>
              </w:rPr>
            </w:pPr>
            <w:r w:rsidRPr="009B39EC">
              <w:rPr>
                <w:rFonts w:ascii="Arial" w:hAnsi="Arial" w:cs="Arial"/>
                <w:b/>
                <w:bCs/>
                <w:sz w:val="20"/>
                <w:szCs w:val="20"/>
                <w:lang w:val="en-GB"/>
              </w:rPr>
              <w:t>The National</w:t>
            </w:r>
            <w:r w:rsidR="008B5A68" w:rsidRPr="009B39EC">
              <w:rPr>
                <w:rFonts w:ascii="Arial" w:hAnsi="Arial" w:cs="Arial"/>
                <w:b/>
                <w:bCs/>
                <w:sz w:val="20"/>
                <w:szCs w:val="20"/>
                <w:lang w:val="en-GB"/>
              </w:rPr>
              <w:t xml:space="preserve"> Council on Gender Equality</w:t>
            </w:r>
            <w:r w:rsidR="00E93F84" w:rsidRPr="009B39EC">
              <w:rPr>
                <w:rFonts w:ascii="Arial" w:hAnsi="Arial" w:cs="Arial"/>
                <w:sz w:val="20"/>
                <w:szCs w:val="20"/>
                <w:lang w:val="en-GB"/>
              </w:rPr>
              <w:t xml:space="preserve"> (</w:t>
            </w:r>
            <w:r w:rsidR="00DD26A2" w:rsidRPr="009B39EC">
              <w:rPr>
                <w:rFonts w:ascii="Arial" w:hAnsi="Arial" w:cs="Arial"/>
                <w:sz w:val="20"/>
                <w:szCs w:val="20"/>
                <w:lang w:val="en-GB"/>
              </w:rPr>
              <w:t xml:space="preserve">NCGE - </w:t>
            </w:r>
            <w:r w:rsidR="006E486C" w:rsidRPr="009B39EC">
              <w:rPr>
                <w:rFonts w:ascii="Arial" w:hAnsi="Arial" w:cs="Arial"/>
                <w:sz w:val="20"/>
                <w:szCs w:val="20"/>
                <w:lang w:val="en-GB"/>
              </w:rPr>
              <w:t>composed of new membership pursuant to Prime Minister’s Ordinance No.</w:t>
            </w:r>
            <w:r w:rsidR="00E93F84" w:rsidRPr="009B39EC">
              <w:rPr>
                <w:rFonts w:ascii="Arial" w:hAnsi="Arial" w:cs="Arial"/>
                <w:sz w:val="20"/>
                <w:szCs w:val="20"/>
                <w:lang w:val="en-GB"/>
              </w:rPr>
              <w:t xml:space="preserve">239, </w:t>
            </w:r>
            <w:r w:rsidR="006E486C" w:rsidRPr="009B39EC">
              <w:rPr>
                <w:rFonts w:ascii="Arial" w:hAnsi="Arial" w:cs="Arial"/>
                <w:sz w:val="20"/>
                <w:szCs w:val="20"/>
                <w:lang w:val="en-GB"/>
              </w:rPr>
              <w:t>dated</w:t>
            </w:r>
            <w:r w:rsidR="00E93F84" w:rsidRPr="009B39EC">
              <w:rPr>
                <w:rFonts w:ascii="Arial" w:hAnsi="Arial" w:cs="Arial"/>
                <w:sz w:val="20"/>
                <w:szCs w:val="20"/>
                <w:lang w:val="en-GB"/>
              </w:rPr>
              <w:t xml:space="preserve"> 13.12.2017) </w:t>
            </w:r>
            <w:r w:rsidR="006E486C" w:rsidRPr="009B39EC">
              <w:rPr>
                <w:rFonts w:ascii="Arial" w:hAnsi="Arial" w:cs="Arial"/>
                <w:sz w:val="20"/>
                <w:szCs w:val="20"/>
                <w:lang w:val="en-GB"/>
              </w:rPr>
              <w:t xml:space="preserve">is an advisory body whose role is to lead, define and develop state policies on gender equality as well as </w:t>
            </w:r>
            <w:r w:rsidRPr="009B39EC">
              <w:rPr>
                <w:rFonts w:ascii="Arial" w:hAnsi="Arial" w:cs="Arial"/>
                <w:sz w:val="20"/>
                <w:szCs w:val="20"/>
                <w:lang w:val="en-GB"/>
              </w:rPr>
              <w:t xml:space="preserve">to </w:t>
            </w:r>
            <w:r w:rsidR="006E486C" w:rsidRPr="009B39EC">
              <w:rPr>
                <w:rFonts w:ascii="Arial" w:hAnsi="Arial" w:cs="Arial"/>
                <w:sz w:val="20"/>
                <w:szCs w:val="20"/>
                <w:lang w:val="en-GB"/>
              </w:rPr>
              <w:t xml:space="preserve">coordinate, implement, </w:t>
            </w:r>
            <w:proofErr w:type="gramStart"/>
            <w:r w:rsidR="006E486C" w:rsidRPr="009B39EC">
              <w:rPr>
                <w:rFonts w:ascii="Arial" w:hAnsi="Arial" w:cs="Arial"/>
                <w:sz w:val="20"/>
                <w:szCs w:val="20"/>
                <w:lang w:val="en-GB"/>
              </w:rPr>
              <w:t>monitor</w:t>
            </w:r>
            <w:proofErr w:type="gramEnd"/>
            <w:r w:rsidR="006E486C" w:rsidRPr="009B39EC">
              <w:rPr>
                <w:rFonts w:ascii="Arial" w:hAnsi="Arial" w:cs="Arial"/>
                <w:sz w:val="20"/>
                <w:szCs w:val="20"/>
                <w:lang w:val="en-GB"/>
              </w:rPr>
              <w:t xml:space="preserve"> and evaluate policies and measures for </w:t>
            </w:r>
            <w:r w:rsidRPr="009B39EC">
              <w:rPr>
                <w:rFonts w:ascii="Arial" w:hAnsi="Arial" w:cs="Arial"/>
                <w:sz w:val="20"/>
                <w:szCs w:val="20"/>
                <w:lang w:val="en-GB"/>
              </w:rPr>
              <w:t>preventing</w:t>
            </w:r>
            <w:r w:rsidR="006E486C" w:rsidRPr="009B39EC">
              <w:rPr>
                <w:rFonts w:ascii="Arial" w:hAnsi="Arial" w:cs="Arial"/>
                <w:sz w:val="20"/>
                <w:szCs w:val="20"/>
                <w:lang w:val="en-GB"/>
              </w:rPr>
              <w:t xml:space="preserve"> and combatting all forms of violence covered </w:t>
            </w:r>
            <w:r w:rsidRPr="009B39EC">
              <w:rPr>
                <w:rFonts w:ascii="Arial" w:hAnsi="Arial" w:cs="Arial"/>
                <w:sz w:val="20"/>
                <w:szCs w:val="20"/>
                <w:lang w:val="en-GB"/>
              </w:rPr>
              <w:t>by</w:t>
            </w:r>
            <w:r w:rsidR="006E486C" w:rsidRPr="009B39EC">
              <w:rPr>
                <w:rFonts w:ascii="Arial" w:hAnsi="Arial" w:cs="Arial"/>
                <w:sz w:val="20"/>
                <w:szCs w:val="20"/>
                <w:lang w:val="en-GB"/>
              </w:rPr>
              <w:t xml:space="preserve"> the Istanbul Convention</w:t>
            </w:r>
            <w:r w:rsidR="00E93F84" w:rsidRPr="009B39EC">
              <w:rPr>
                <w:rFonts w:ascii="Arial" w:hAnsi="Arial" w:cs="Arial"/>
                <w:sz w:val="20"/>
                <w:szCs w:val="20"/>
                <w:lang w:val="en-GB"/>
              </w:rPr>
              <w:t xml:space="preserve">. </w:t>
            </w:r>
            <w:r w:rsidR="006E486C" w:rsidRPr="009B39EC">
              <w:rPr>
                <w:rFonts w:ascii="Arial" w:hAnsi="Arial" w:cs="Arial"/>
                <w:sz w:val="20"/>
                <w:szCs w:val="20"/>
                <w:lang w:val="en-GB"/>
              </w:rPr>
              <w:t xml:space="preserve">The Council </w:t>
            </w:r>
            <w:r w:rsidRPr="009B39EC">
              <w:rPr>
                <w:rFonts w:ascii="Arial" w:hAnsi="Arial" w:cs="Arial"/>
                <w:sz w:val="20"/>
                <w:szCs w:val="20"/>
                <w:lang w:val="en-GB"/>
              </w:rPr>
              <w:t>is</w:t>
            </w:r>
            <w:r w:rsidR="006E486C" w:rsidRPr="009B39EC">
              <w:rPr>
                <w:rFonts w:ascii="Arial" w:hAnsi="Arial" w:cs="Arial"/>
                <w:sz w:val="20"/>
                <w:szCs w:val="20"/>
                <w:lang w:val="en-GB"/>
              </w:rPr>
              <w:t xml:space="preserve"> established </w:t>
            </w:r>
            <w:r w:rsidRPr="009B39EC">
              <w:rPr>
                <w:rFonts w:ascii="Arial" w:hAnsi="Arial" w:cs="Arial"/>
                <w:sz w:val="20"/>
                <w:szCs w:val="20"/>
                <w:lang w:val="en-GB"/>
              </w:rPr>
              <w:t xml:space="preserve">by order of </w:t>
            </w:r>
            <w:r w:rsidR="006E486C" w:rsidRPr="009B39EC">
              <w:rPr>
                <w:rFonts w:ascii="Arial" w:hAnsi="Arial" w:cs="Arial"/>
                <w:sz w:val="20"/>
                <w:szCs w:val="20"/>
                <w:lang w:val="en-GB"/>
              </w:rPr>
              <w:t xml:space="preserve">the </w:t>
            </w:r>
            <w:r w:rsidRPr="009B39EC">
              <w:rPr>
                <w:rFonts w:ascii="Arial" w:hAnsi="Arial" w:cs="Arial"/>
                <w:sz w:val="20"/>
                <w:szCs w:val="20"/>
                <w:lang w:val="en-GB"/>
              </w:rPr>
              <w:t>P</w:t>
            </w:r>
            <w:r w:rsidR="006E486C" w:rsidRPr="009B39EC">
              <w:rPr>
                <w:rFonts w:ascii="Arial" w:hAnsi="Arial" w:cs="Arial"/>
                <w:sz w:val="20"/>
                <w:szCs w:val="20"/>
                <w:lang w:val="en-GB"/>
              </w:rPr>
              <w:t>rime Minister</w:t>
            </w:r>
            <w:r w:rsidRPr="009B39EC">
              <w:rPr>
                <w:rFonts w:ascii="Arial" w:hAnsi="Arial" w:cs="Arial"/>
                <w:sz w:val="20"/>
                <w:szCs w:val="20"/>
                <w:lang w:val="en-GB"/>
              </w:rPr>
              <w:t xml:space="preserve"> </w:t>
            </w:r>
            <w:proofErr w:type="gramStart"/>
            <w:r w:rsidRPr="009B39EC">
              <w:rPr>
                <w:rFonts w:ascii="Arial" w:hAnsi="Arial" w:cs="Arial"/>
                <w:sz w:val="20"/>
                <w:szCs w:val="20"/>
                <w:lang w:val="en-GB"/>
              </w:rPr>
              <w:t xml:space="preserve">and </w:t>
            </w:r>
            <w:r w:rsidR="006E486C" w:rsidRPr="009B39EC">
              <w:rPr>
                <w:rFonts w:ascii="Arial" w:hAnsi="Arial" w:cs="Arial"/>
                <w:sz w:val="20"/>
                <w:szCs w:val="20"/>
                <w:lang w:val="en-GB"/>
              </w:rPr>
              <w:t xml:space="preserve"> its</w:t>
            </w:r>
            <w:proofErr w:type="gramEnd"/>
            <w:r w:rsidR="006E486C" w:rsidRPr="009B39EC">
              <w:rPr>
                <w:rFonts w:ascii="Arial" w:hAnsi="Arial" w:cs="Arial"/>
                <w:sz w:val="20"/>
                <w:szCs w:val="20"/>
                <w:lang w:val="en-GB"/>
              </w:rPr>
              <w:t xml:space="preserve"> </w:t>
            </w:r>
            <w:r w:rsidRPr="009B39EC">
              <w:rPr>
                <w:rFonts w:ascii="Arial" w:hAnsi="Arial" w:cs="Arial"/>
                <w:sz w:val="20"/>
                <w:szCs w:val="20"/>
                <w:lang w:val="en-GB"/>
              </w:rPr>
              <w:t>composition</w:t>
            </w:r>
            <w:r w:rsidR="006E486C" w:rsidRPr="009B39EC">
              <w:rPr>
                <w:rFonts w:ascii="Arial" w:hAnsi="Arial" w:cs="Arial"/>
                <w:sz w:val="20"/>
                <w:szCs w:val="20"/>
                <w:lang w:val="en-GB"/>
              </w:rPr>
              <w:t xml:space="preserve"> is renewed </w:t>
            </w:r>
            <w:r w:rsidRPr="009B39EC">
              <w:rPr>
                <w:rFonts w:ascii="Arial" w:hAnsi="Arial" w:cs="Arial"/>
                <w:sz w:val="20"/>
                <w:szCs w:val="20"/>
                <w:lang w:val="en-GB"/>
              </w:rPr>
              <w:t xml:space="preserve">once </w:t>
            </w:r>
            <w:r w:rsidR="006E486C" w:rsidRPr="009B39EC">
              <w:rPr>
                <w:rFonts w:ascii="Arial" w:hAnsi="Arial" w:cs="Arial"/>
                <w:sz w:val="20"/>
                <w:szCs w:val="20"/>
                <w:lang w:val="en-GB"/>
              </w:rPr>
              <w:t>every four years</w:t>
            </w:r>
            <w:r w:rsidRPr="009B39EC">
              <w:rPr>
                <w:rFonts w:ascii="Arial" w:hAnsi="Arial" w:cs="Arial"/>
                <w:sz w:val="20"/>
                <w:szCs w:val="20"/>
                <w:lang w:val="en-GB"/>
              </w:rPr>
              <w:t>. I</w:t>
            </w:r>
            <w:r w:rsidR="00F74919" w:rsidRPr="009B39EC">
              <w:rPr>
                <w:rFonts w:ascii="Arial" w:hAnsi="Arial" w:cs="Arial"/>
                <w:sz w:val="20"/>
                <w:szCs w:val="20"/>
                <w:lang w:val="en-GB"/>
              </w:rPr>
              <w:t xml:space="preserve">t is </w:t>
            </w:r>
            <w:r w:rsidRPr="009B39EC">
              <w:rPr>
                <w:rFonts w:ascii="Arial" w:hAnsi="Arial" w:cs="Arial"/>
                <w:sz w:val="20"/>
                <w:szCs w:val="20"/>
                <w:lang w:val="en-GB"/>
              </w:rPr>
              <w:t>chaired</w:t>
            </w:r>
            <w:r w:rsidR="00F74919" w:rsidRPr="009B39EC">
              <w:rPr>
                <w:rFonts w:ascii="Arial" w:hAnsi="Arial" w:cs="Arial"/>
                <w:sz w:val="20"/>
                <w:szCs w:val="20"/>
                <w:lang w:val="en-GB"/>
              </w:rPr>
              <w:t xml:space="preserve"> by the Minister of Health and Social </w:t>
            </w:r>
            <w:r w:rsidRPr="009B39EC">
              <w:rPr>
                <w:rFonts w:ascii="Arial" w:hAnsi="Arial" w:cs="Arial"/>
                <w:sz w:val="20"/>
                <w:szCs w:val="20"/>
                <w:lang w:val="en-GB"/>
              </w:rPr>
              <w:t>P</w:t>
            </w:r>
            <w:r w:rsidR="00F74919" w:rsidRPr="009B39EC">
              <w:rPr>
                <w:rFonts w:ascii="Arial" w:hAnsi="Arial" w:cs="Arial"/>
                <w:sz w:val="20"/>
                <w:szCs w:val="20"/>
                <w:lang w:val="en-GB"/>
              </w:rPr>
              <w:t xml:space="preserve">rotection and composed of nine representatives from line ministries </w:t>
            </w:r>
            <w:r w:rsidRPr="009B39EC">
              <w:rPr>
                <w:rFonts w:ascii="Arial" w:hAnsi="Arial" w:cs="Arial"/>
                <w:sz w:val="20"/>
                <w:szCs w:val="20"/>
                <w:lang w:val="en-GB"/>
              </w:rPr>
              <w:t xml:space="preserve">at the rank of </w:t>
            </w:r>
            <w:r w:rsidR="00D419AB" w:rsidRPr="009B39EC">
              <w:rPr>
                <w:rFonts w:ascii="Arial" w:hAnsi="Arial" w:cs="Arial"/>
                <w:sz w:val="20"/>
                <w:szCs w:val="20"/>
                <w:lang w:val="en-GB"/>
              </w:rPr>
              <w:t>d</w:t>
            </w:r>
            <w:r w:rsidR="00F74919" w:rsidRPr="009B39EC">
              <w:rPr>
                <w:rFonts w:ascii="Arial" w:hAnsi="Arial" w:cs="Arial"/>
                <w:sz w:val="20"/>
                <w:szCs w:val="20"/>
                <w:lang w:val="en-GB"/>
              </w:rPr>
              <w:t xml:space="preserve">eputy </w:t>
            </w:r>
            <w:r w:rsidR="00D419AB" w:rsidRPr="009B39EC">
              <w:rPr>
                <w:rFonts w:ascii="Arial" w:hAnsi="Arial" w:cs="Arial"/>
                <w:sz w:val="20"/>
                <w:szCs w:val="20"/>
                <w:lang w:val="en-GB"/>
              </w:rPr>
              <w:t>m</w:t>
            </w:r>
            <w:r w:rsidR="00F74919" w:rsidRPr="009B39EC">
              <w:rPr>
                <w:rFonts w:ascii="Arial" w:hAnsi="Arial" w:cs="Arial"/>
                <w:sz w:val="20"/>
                <w:szCs w:val="20"/>
                <w:lang w:val="en-GB"/>
              </w:rPr>
              <w:t>inister or senior manage</w:t>
            </w:r>
            <w:r w:rsidRPr="009B39EC">
              <w:rPr>
                <w:rFonts w:ascii="Arial" w:hAnsi="Arial" w:cs="Arial"/>
                <w:sz w:val="20"/>
                <w:szCs w:val="20"/>
                <w:lang w:val="en-GB"/>
              </w:rPr>
              <w:t>ment</w:t>
            </w:r>
            <w:r w:rsidR="00F74919" w:rsidRPr="009B39EC">
              <w:rPr>
                <w:rFonts w:ascii="Arial" w:hAnsi="Arial" w:cs="Arial"/>
                <w:sz w:val="20"/>
                <w:szCs w:val="20"/>
                <w:lang w:val="en-GB"/>
              </w:rPr>
              <w:t>, as wel</w:t>
            </w:r>
            <w:r w:rsidRPr="009B39EC">
              <w:rPr>
                <w:rFonts w:ascii="Arial" w:hAnsi="Arial" w:cs="Arial"/>
                <w:sz w:val="20"/>
                <w:szCs w:val="20"/>
                <w:lang w:val="en-GB"/>
              </w:rPr>
              <w:t>l</w:t>
            </w:r>
            <w:r w:rsidR="00F74919" w:rsidRPr="009B39EC">
              <w:rPr>
                <w:rFonts w:ascii="Arial" w:hAnsi="Arial" w:cs="Arial"/>
                <w:sz w:val="20"/>
                <w:szCs w:val="20"/>
                <w:lang w:val="en-GB"/>
              </w:rPr>
              <w:t xml:space="preserve"> as three representatives from the civil society </w:t>
            </w:r>
            <w:r w:rsidR="00D419AB" w:rsidRPr="009B39EC">
              <w:rPr>
                <w:rFonts w:ascii="Arial" w:hAnsi="Arial" w:cs="Arial"/>
                <w:sz w:val="20"/>
                <w:szCs w:val="20"/>
                <w:lang w:val="en-GB"/>
              </w:rPr>
              <w:t>who are s</w:t>
            </w:r>
            <w:r w:rsidR="00F74919" w:rsidRPr="009B39EC">
              <w:rPr>
                <w:rFonts w:ascii="Arial" w:hAnsi="Arial" w:cs="Arial"/>
                <w:sz w:val="20"/>
                <w:szCs w:val="20"/>
                <w:lang w:val="en-GB"/>
              </w:rPr>
              <w:t xml:space="preserve">elected </w:t>
            </w:r>
            <w:r w:rsidR="002632FB" w:rsidRPr="009B39EC">
              <w:rPr>
                <w:rFonts w:ascii="Arial" w:hAnsi="Arial" w:cs="Arial"/>
                <w:sz w:val="20"/>
                <w:szCs w:val="20"/>
                <w:lang w:val="en-GB"/>
              </w:rPr>
              <w:t xml:space="preserve">through an open competition and </w:t>
            </w:r>
            <w:proofErr w:type="gramStart"/>
            <w:r w:rsidR="002632FB" w:rsidRPr="009B39EC">
              <w:rPr>
                <w:rFonts w:ascii="Arial" w:hAnsi="Arial" w:cs="Arial"/>
                <w:sz w:val="20"/>
                <w:szCs w:val="20"/>
                <w:lang w:val="en-GB"/>
              </w:rPr>
              <w:t>on the basis of</w:t>
            </w:r>
            <w:proofErr w:type="gramEnd"/>
            <w:r w:rsidR="002632FB" w:rsidRPr="009B39EC">
              <w:rPr>
                <w:rFonts w:ascii="Arial" w:hAnsi="Arial" w:cs="Arial"/>
                <w:sz w:val="20"/>
                <w:szCs w:val="20"/>
                <w:lang w:val="en-GB"/>
              </w:rPr>
              <w:t xml:space="preserve"> criteria </w:t>
            </w:r>
            <w:r w:rsidR="00D419AB" w:rsidRPr="009B39EC">
              <w:rPr>
                <w:rFonts w:ascii="Arial" w:hAnsi="Arial" w:cs="Arial"/>
                <w:sz w:val="20"/>
                <w:szCs w:val="20"/>
                <w:lang w:val="en-GB"/>
              </w:rPr>
              <w:t xml:space="preserve">such </w:t>
            </w:r>
            <w:r w:rsidR="002632FB" w:rsidRPr="009B39EC">
              <w:rPr>
                <w:rFonts w:ascii="Arial" w:hAnsi="Arial" w:cs="Arial"/>
                <w:sz w:val="20"/>
                <w:szCs w:val="20"/>
                <w:lang w:val="en-GB"/>
              </w:rPr>
              <w:t xml:space="preserve">as </w:t>
            </w:r>
            <w:r w:rsidRPr="009B39EC">
              <w:rPr>
                <w:rFonts w:ascii="Arial" w:hAnsi="Arial" w:cs="Arial"/>
                <w:sz w:val="20"/>
                <w:szCs w:val="20"/>
                <w:lang w:val="en-GB"/>
              </w:rPr>
              <w:t xml:space="preserve">previous </w:t>
            </w:r>
            <w:r w:rsidR="002632FB" w:rsidRPr="009B39EC">
              <w:rPr>
                <w:rFonts w:ascii="Arial" w:hAnsi="Arial" w:cs="Arial"/>
                <w:sz w:val="20"/>
                <w:szCs w:val="20"/>
                <w:lang w:val="en-GB"/>
              </w:rPr>
              <w:t xml:space="preserve">experience and </w:t>
            </w:r>
            <w:r w:rsidR="004826C2" w:rsidRPr="009B39EC">
              <w:rPr>
                <w:rFonts w:ascii="Arial" w:hAnsi="Arial" w:cs="Arial"/>
                <w:sz w:val="20"/>
                <w:szCs w:val="20"/>
                <w:lang w:val="en-GB"/>
              </w:rPr>
              <w:t xml:space="preserve">past </w:t>
            </w:r>
            <w:r w:rsidR="002632FB" w:rsidRPr="009B39EC">
              <w:rPr>
                <w:rFonts w:ascii="Arial" w:hAnsi="Arial" w:cs="Arial"/>
                <w:sz w:val="20"/>
                <w:szCs w:val="20"/>
                <w:lang w:val="en-GB"/>
              </w:rPr>
              <w:t>contribution in these matters</w:t>
            </w:r>
            <w:r w:rsidR="00E93F84" w:rsidRPr="009B39EC">
              <w:rPr>
                <w:rFonts w:ascii="Arial" w:hAnsi="Arial" w:cs="Arial"/>
                <w:sz w:val="20"/>
                <w:szCs w:val="20"/>
                <w:lang w:val="en-GB"/>
              </w:rPr>
              <w:t xml:space="preserve">. </w:t>
            </w:r>
          </w:p>
          <w:p w14:paraId="00F5AA43" w14:textId="6B9178EB" w:rsidR="00E93F84" w:rsidRPr="009B39EC" w:rsidRDefault="00E93F84" w:rsidP="00E93F84">
            <w:pPr>
              <w:jc w:val="both"/>
              <w:rPr>
                <w:rFonts w:ascii="Arial" w:hAnsi="Arial" w:cs="Arial"/>
                <w:sz w:val="20"/>
                <w:szCs w:val="20"/>
                <w:lang w:val="en-GB"/>
              </w:rPr>
            </w:pPr>
          </w:p>
          <w:p w14:paraId="07103293" w14:textId="7C67E3DF" w:rsidR="00E93F84" w:rsidRPr="009B39EC" w:rsidRDefault="002632FB" w:rsidP="00E93F84">
            <w:pPr>
              <w:jc w:val="both"/>
              <w:rPr>
                <w:rFonts w:ascii="Arial" w:hAnsi="Arial" w:cs="Arial"/>
                <w:sz w:val="20"/>
                <w:szCs w:val="20"/>
                <w:lang w:val="en-GB"/>
              </w:rPr>
            </w:pPr>
            <w:r w:rsidRPr="009B39EC">
              <w:rPr>
                <w:rFonts w:ascii="Arial" w:hAnsi="Arial" w:cs="Arial"/>
                <w:b/>
                <w:bCs/>
                <w:sz w:val="20"/>
                <w:szCs w:val="20"/>
                <w:lang w:val="en-GB"/>
              </w:rPr>
              <w:t xml:space="preserve">The </w:t>
            </w:r>
            <w:r w:rsidR="0056693E" w:rsidRPr="009B39EC">
              <w:rPr>
                <w:rFonts w:ascii="Arial" w:hAnsi="Arial" w:cs="Arial"/>
                <w:b/>
                <w:bCs/>
                <w:sz w:val="20"/>
                <w:szCs w:val="20"/>
                <w:lang w:val="en-GB"/>
              </w:rPr>
              <w:t xml:space="preserve">Parliamentary </w:t>
            </w:r>
            <w:r w:rsidRPr="009B39EC">
              <w:rPr>
                <w:rFonts w:ascii="Arial" w:hAnsi="Arial" w:cs="Arial"/>
                <w:b/>
                <w:bCs/>
                <w:sz w:val="20"/>
                <w:szCs w:val="20"/>
                <w:lang w:val="en-GB"/>
              </w:rPr>
              <w:t>Sub-</w:t>
            </w:r>
            <w:r w:rsidR="00E24153" w:rsidRPr="009B39EC">
              <w:rPr>
                <w:rFonts w:ascii="Arial" w:hAnsi="Arial" w:cs="Arial"/>
                <w:b/>
                <w:bCs/>
                <w:sz w:val="20"/>
                <w:szCs w:val="20"/>
                <w:lang w:val="en-GB"/>
              </w:rPr>
              <w:t>C</w:t>
            </w:r>
            <w:r w:rsidRPr="009B39EC">
              <w:rPr>
                <w:rFonts w:ascii="Arial" w:hAnsi="Arial" w:cs="Arial"/>
                <w:b/>
                <w:bCs/>
                <w:sz w:val="20"/>
                <w:szCs w:val="20"/>
                <w:lang w:val="en-GB"/>
              </w:rPr>
              <w:t xml:space="preserve">ommittee </w:t>
            </w:r>
            <w:r w:rsidR="00E93F84" w:rsidRPr="009B39EC">
              <w:rPr>
                <w:rFonts w:ascii="Arial" w:hAnsi="Arial" w:cs="Arial"/>
                <w:b/>
                <w:bCs/>
                <w:sz w:val="20"/>
                <w:szCs w:val="20"/>
                <w:lang w:val="en-GB"/>
              </w:rPr>
              <w:t>“</w:t>
            </w:r>
            <w:r w:rsidRPr="009B39EC">
              <w:rPr>
                <w:rFonts w:ascii="Arial" w:hAnsi="Arial" w:cs="Arial"/>
                <w:b/>
                <w:bCs/>
                <w:sz w:val="20"/>
                <w:szCs w:val="20"/>
                <w:lang w:val="en-GB"/>
              </w:rPr>
              <w:t>On Gender Equality and Preventing Violence against Women</w:t>
            </w:r>
            <w:r w:rsidR="00E93F84" w:rsidRPr="009B39EC">
              <w:rPr>
                <w:rFonts w:ascii="Arial" w:hAnsi="Arial" w:cs="Arial"/>
                <w:b/>
                <w:bCs/>
                <w:sz w:val="20"/>
                <w:szCs w:val="20"/>
                <w:lang w:val="en-GB"/>
              </w:rPr>
              <w:t>”</w:t>
            </w:r>
            <w:r w:rsidR="000D088F" w:rsidRPr="009B39EC">
              <w:rPr>
                <w:rFonts w:ascii="Arial" w:hAnsi="Arial" w:cs="Arial"/>
                <w:b/>
                <w:bCs/>
                <w:sz w:val="20"/>
                <w:szCs w:val="20"/>
                <w:lang w:val="en-GB"/>
              </w:rPr>
              <w:t>,</w:t>
            </w:r>
            <w:r w:rsidR="00E93F84" w:rsidRPr="009B39EC">
              <w:rPr>
                <w:rFonts w:ascii="Arial" w:hAnsi="Arial" w:cs="Arial"/>
                <w:sz w:val="20"/>
                <w:szCs w:val="20"/>
                <w:lang w:val="en-GB"/>
              </w:rPr>
              <w:t xml:space="preserve"> </w:t>
            </w:r>
            <w:r w:rsidRPr="009B39EC">
              <w:rPr>
                <w:rFonts w:ascii="Arial" w:hAnsi="Arial" w:cs="Arial"/>
                <w:sz w:val="20"/>
                <w:szCs w:val="20"/>
                <w:lang w:val="en-GB"/>
              </w:rPr>
              <w:t>under the Standing Parliamentary Committee on Labour, Social Affairs and Health</w:t>
            </w:r>
            <w:r w:rsidR="00E93F84" w:rsidRPr="009B39EC">
              <w:rPr>
                <w:rFonts w:ascii="Arial" w:hAnsi="Arial" w:cs="Arial"/>
                <w:sz w:val="20"/>
                <w:szCs w:val="20"/>
                <w:lang w:val="en-GB"/>
              </w:rPr>
              <w:t xml:space="preserve">, </w:t>
            </w:r>
            <w:r w:rsidR="000D088F" w:rsidRPr="009B39EC">
              <w:rPr>
                <w:rFonts w:ascii="Arial" w:hAnsi="Arial" w:cs="Arial"/>
                <w:sz w:val="20"/>
                <w:szCs w:val="20"/>
                <w:lang w:val="en-GB"/>
              </w:rPr>
              <w:t xml:space="preserve">was established </w:t>
            </w:r>
            <w:r w:rsidR="00E24153" w:rsidRPr="009B39EC">
              <w:rPr>
                <w:rFonts w:ascii="Arial" w:hAnsi="Arial" w:cs="Arial"/>
                <w:sz w:val="20"/>
                <w:szCs w:val="20"/>
                <w:lang w:val="en-GB"/>
              </w:rPr>
              <w:t xml:space="preserve">pursuant to </w:t>
            </w:r>
            <w:r w:rsidR="000D088F" w:rsidRPr="009B39EC">
              <w:rPr>
                <w:rFonts w:ascii="Arial" w:hAnsi="Arial" w:cs="Arial"/>
                <w:sz w:val="20"/>
                <w:szCs w:val="20"/>
                <w:lang w:val="en-GB"/>
              </w:rPr>
              <w:t xml:space="preserve">the </w:t>
            </w:r>
            <w:r w:rsidR="00E24153" w:rsidRPr="009B39EC">
              <w:rPr>
                <w:rFonts w:ascii="Arial" w:hAnsi="Arial" w:cs="Arial"/>
                <w:sz w:val="20"/>
                <w:szCs w:val="20"/>
                <w:lang w:val="en-GB"/>
              </w:rPr>
              <w:t>Resolution</w:t>
            </w:r>
            <w:r w:rsidR="00E93F84" w:rsidRPr="009B39EC">
              <w:rPr>
                <w:rFonts w:ascii="Arial" w:hAnsi="Arial" w:cs="Arial"/>
                <w:sz w:val="20"/>
                <w:szCs w:val="20"/>
                <w:lang w:val="en-GB"/>
              </w:rPr>
              <w:t xml:space="preserve"> “</w:t>
            </w:r>
            <w:r w:rsidR="00E24153" w:rsidRPr="009B39EC">
              <w:rPr>
                <w:rFonts w:ascii="Arial" w:hAnsi="Arial" w:cs="Arial"/>
                <w:sz w:val="20"/>
                <w:szCs w:val="20"/>
                <w:lang w:val="en-GB"/>
              </w:rPr>
              <w:t>On Condemning Violence against Women and Girls and Increasing the Efficiency of Legal Mechanisms for its Prevention</w:t>
            </w:r>
            <w:r w:rsidR="00E93F84" w:rsidRPr="009B39EC">
              <w:rPr>
                <w:rFonts w:ascii="Arial" w:hAnsi="Arial" w:cs="Arial"/>
                <w:sz w:val="20"/>
                <w:szCs w:val="20"/>
                <w:lang w:val="en-GB"/>
              </w:rPr>
              <w:t>” (</w:t>
            </w:r>
            <w:r w:rsidR="00E24153" w:rsidRPr="009B39EC">
              <w:rPr>
                <w:rFonts w:ascii="Arial" w:hAnsi="Arial" w:cs="Arial"/>
                <w:sz w:val="20"/>
                <w:szCs w:val="20"/>
                <w:lang w:val="en-GB"/>
              </w:rPr>
              <w:t xml:space="preserve">adopted by the People’s Assembly on 4 </w:t>
            </w:r>
            <w:r w:rsidR="00445CB5" w:rsidRPr="009B39EC">
              <w:rPr>
                <w:rFonts w:ascii="Arial" w:hAnsi="Arial" w:cs="Arial"/>
                <w:sz w:val="20"/>
                <w:szCs w:val="20"/>
                <w:lang w:val="en-GB"/>
              </w:rPr>
              <w:t>December 2017</w:t>
            </w:r>
            <w:r w:rsidR="00E93F84" w:rsidRPr="009B39EC">
              <w:rPr>
                <w:rFonts w:ascii="Arial" w:hAnsi="Arial" w:cs="Arial"/>
                <w:sz w:val="20"/>
                <w:szCs w:val="20"/>
                <w:lang w:val="en-GB"/>
              </w:rPr>
              <w:t xml:space="preserve">). </w:t>
            </w:r>
            <w:r w:rsidR="00E24153" w:rsidRPr="009B39EC">
              <w:rPr>
                <w:rFonts w:ascii="Arial" w:hAnsi="Arial" w:cs="Arial"/>
                <w:sz w:val="20"/>
                <w:szCs w:val="20"/>
                <w:lang w:val="en-GB"/>
              </w:rPr>
              <w:t>In the framework of parliamentary oversight</w:t>
            </w:r>
            <w:r w:rsidR="000D088F" w:rsidRPr="009B39EC">
              <w:rPr>
                <w:rFonts w:ascii="Arial" w:hAnsi="Arial" w:cs="Arial"/>
                <w:sz w:val="20"/>
                <w:szCs w:val="20"/>
                <w:lang w:val="en-GB"/>
              </w:rPr>
              <w:t xml:space="preserve"> role</w:t>
            </w:r>
            <w:r w:rsidR="00E24153" w:rsidRPr="009B39EC">
              <w:rPr>
                <w:rFonts w:ascii="Arial" w:hAnsi="Arial" w:cs="Arial"/>
                <w:sz w:val="20"/>
                <w:szCs w:val="20"/>
                <w:lang w:val="en-GB"/>
              </w:rPr>
              <w:t>, th</w:t>
            </w:r>
            <w:r w:rsidR="000D088F" w:rsidRPr="009B39EC">
              <w:rPr>
                <w:rFonts w:ascii="Arial" w:hAnsi="Arial" w:cs="Arial"/>
                <w:sz w:val="20"/>
                <w:szCs w:val="20"/>
                <w:lang w:val="en-GB"/>
              </w:rPr>
              <w:t>e</w:t>
            </w:r>
            <w:r w:rsidR="00E24153" w:rsidRPr="009B39EC">
              <w:rPr>
                <w:rFonts w:ascii="Arial" w:hAnsi="Arial" w:cs="Arial"/>
                <w:sz w:val="20"/>
                <w:szCs w:val="20"/>
                <w:lang w:val="en-GB"/>
              </w:rPr>
              <w:t xml:space="preserve"> sub-committee requests </w:t>
            </w:r>
            <w:r w:rsidR="000D088F" w:rsidRPr="009B39EC">
              <w:rPr>
                <w:rFonts w:ascii="Arial" w:hAnsi="Arial" w:cs="Arial"/>
                <w:sz w:val="20"/>
                <w:szCs w:val="20"/>
                <w:lang w:val="en-GB"/>
              </w:rPr>
              <w:t xml:space="preserve">and receives </w:t>
            </w:r>
            <w:r w:rsidR="00E24153" w:rsidRPr="009B39EC">
              <w:rPr>
                <w:rFonts w:ascii="Arial" w:hAnsi="Arial" w:cs="Arial"/>
                <w:sz w:val="20"/>
                <w:szCs w:val="20"/>
                <w:lang w:val="en-GB"/>
              </w:rPr>
              <w:t>information on the implementation of the National Strategy on Gender Equality, reports on the domestic violence situation, or on issues such as discrimination against women</w:t>
            </w:r>
            <w:r w:rsidR="004E45BA" w:rsidRPr="009B39EC">
              <w:rPr>
                <w:rFonts w:ascii="Arial" w:hAnsi="Arial" w:cs="Arial"/>
                <w:sz w:val="20"/>
                <w:szCs w:val="20"/>
                <w:lang w:val="en-GB"/>
              </w:rPr>
              <w:t xml:space="preserve"> and holds hearings with interest groups and institutions</w:t>
            </w:r>
            <w:r w:rsidR="00E93F84" w:rsidRPr="009B39EC">
              <w:rPr>
                <w:rFonts w:ascii="Arial" w:hAnsi="Arial" w:cs="Arial"/>
                <w:sz w:val="20"/>
                <w:szCs w:val="20"/>
                <w:lang w:val="en-GB"/>
              </w:rPr>
              <w:t>.</w:t>
            </w:r>
          </w:p>
          <w:p w14:paraId="1370DC1D" w14:textId="77777777" w:rsidR="00E93F84" w:rsidRPr="009B39EC" w:rsidRDefault="00E93F84" w:rsidP="00E93F84">
            <w:pPr>
              <w:jc w:val="both"/>
              <w:rPr>
                <w:rFonts w:ascii="Arial" w:hAnsi="Arial" w:cs="Arial"/>
                <w:sz w:val="20"/>
                <w:szCs w:val="20"/>
                <w:lang w:val="en-GB"/>
              </w:rPr>
            </w:pPr>
          </w:p>
          <w:p w14:paraId="6BB90C8A" w14:textId="78AA609C" w:rsidR="00E93F84" w:rsidRPr="009B39EC" w:rsidRDefault="004E45BA" w:rsidP="00E93F84">
            <w:pPr>
              <w:jc w:val="both"/>
              <w:rPr>
                <w:rFonts w:ascii="Arial" w:hAnsi="Arial" w:cs="Arial"/>
                <w:sz w:val="20"/>
                <w:szCs w:val="20"/>
                <w:lang w:val="en-GB"/>
              </w:rPr>
            </w:pPr>
            <w:r w:rsidRPr="009B39EC">
              <w:rPr>
                <w:rFonts w:ascii="Arial" w:hAnsi="Arial" w:cs="Arial"/>
                <w:b/>
                <w:bCs/>
                <w:sz w:val="20"/>
                <w:szCs w:val="20"/>
                <w:lang w:val="en-GB"/>
              </w:rPr>
              <w:t>The Office for Coordinati</w:t>
            </w:r>
            <w:r w:rsidR="000D088F" w:rsidRPr="009B39EC">
              <w:rPr>
                <w:rFonts w:ascii="Arial" w:hAnsi="Arial" w:cs="Arial"/>
                <w:b/>
                <w:bCs/>
                <w:sz w:val="20"/>
                <w:szCs w:val="20"/>
                <w:lang w:val="en-GB"/>
              </w:rPr>
              <w:t>ng</w:t>
            </w:r>
            <w:r w:rsidRPr="009B39EC">
              <w:rPr>
                <w:rFonts w:ascii="Arial" w:hAnsi="Arial" w:cs="Arial"/>
                <w:b/>
                <w:bCs/>
                <w:sz w:val="20"/>
                <w:szCs w:val="20"/>
                <w:lang w:val="en-GB"/>
              </w:rPr>
              <w:t xml:space="preserve"> the Fight against Domestic Violence</w:t>
            </w:r>
            <w:r w:rsidRPr="009B39EC">
              <w:rPr>
                <w:rFonts w:ascii="Arial" w:hAnsi="Arial" w:cs="Arial"/>
                <w:bCs/>
                <w:sz w:val="20"/>
                <w:szCs w:val="20"/>
                <w:lang w:val="en-GB"/>
              </w:rPr>
              <w:t>, established within the Ministry of Justice</w:t>
            </w:r>
            <w:r w:rsidR="00E93F84" w:rsidRPr="009B39EC">
              <w:rPr>
                <w:rFonts w:ascii="Arial" w:hAnsi="Arial" w:cs="Arial"/>
                <w:sz w:val="20"/>
                <w:szCs w:val="20"/>
                <w:lang w:val="en-GB"/>
              </w:rPr>
              <w:t xml:space="preserve"> (</w:t>
            </w:r>
            <w:r w:rsidRPr="009B39EC">
              <w:rPr>
                <w:rFonts w:ascii="Arial" w:hAnsi="Arial" w:cs="Arial"/>
                <w:sz w:val="20"/>
                <w:szCs w:val="20"/>
                <w:lang w:val="en-GB"/>
              </w:rPr>
              <w:t>on</w:t>
            </w:r>
            <w:r w:rsidR="00E93F84" w:rsidRPr="009B39EC">
              <w:rPr>
                <w:rFonts w:ascii="Arial" w:hAnsi="Arial" w:cs="Arial"/>
                <w:sz w:val="20"/>
                <w:szCs w:val="20"/>
                <w:lang w:val="en-GB"/>
              </w:rPr>
              <w:t xml:space="preserve"> 25</w:t>
            </w:r>
            <w:r w:rsidRPr="009B39EC">
              <w:rPr>
                <w:rFonts w:ascii="Arial" w:hAnsi="Arial" w:cs="Arial"/>
                <w:sz w:val="20"/>
                <w:szCs w:val="20"/>
                <w:lang w:val="en-GB"/>
              </w:rPr>
              <w:t xml:space="preserve"> November </w:t>
            </w:r>
            <w:r w:rsidR="00E93F84" w:rsidRPr="009B39EC">
              <w:rPr>
                <w:rFonts w:ascii="Arial" w:hAnsi="Arial" w:cs="Arial"/>
                <w:sz w:val="20"/>
                <w:szCs w:val="20"/>
                <w:lang w:val="en-GB"/>
              </w:rPr>
              <w:t xml:space="preserve">2017), </w:t>
            </w:r>
            <w:r w:rsidRPr="009B39EC">
              <w:rPr>
                <w:rFonts w:ascii="Arial" w:hAnsi="Arial" w:cs="Arial"/>
                <w:sz w:val="20"/>
                <w:szCs w:val="20"/>
                <w:lang w:val="en-GB"/>
              </w:rPr>
              <w:t xml:space="preserve">is tasked with </w:t>
            </w:r>
            <w:r w:rsidR="00204643" w:rsidRPr="009B39EC">
              <w:rPr>
                <w:rFonts w:ascii="Arial" w:hAnsi="Arial" w:cs="Arial"/>
                <w:sz w:val="20"/>
                <w:szCs w:val="20"/>
                <w:lang w:val="en-GB"/>
              </w:rPr>
              <w:t xml:space="preserve">coordinating </w:t>
            </w:r>
            <w:r w:rsidRPr="009B39EC">
              <w:rPr>
                <w:rFonts w:ascii="Arial" w:hAnsi="Arial" w:cs="Arial"/>
                <w:sz w:val="20"/>
                <w:szCs w:val="20"/>
                <w:lang w:val="en-GB"/>
              </w:rPr>
              <w:t>institutional action at the central and local level</w:t>
            </w:r>
            <w:r w:rsidR="00204643" w:rsidRPr="009B39EC">
              <w:rPr>
                <w:rFonts w:ascii="Arial" w:hAnsi="Arial" w:cs="Arial"/>
                <w:sz w:val="20"/>
                <w:szCs w:val="20"/>
                <w:lang w:val="en-GB"/>
              </w:rPr>
              <w:t>s</w:t>
            </w:r>
            <w:r w:rsidRPr="009B39EC">
              <w:rPr>
                <w:rFonts w:ascii="Arial" w:hAnsi="Arial" w:cs="Arial"/>
                <w:sz w:val="20"/>
                <w:szCs w:val="20"/>
                <w:lang w:val="en-GB"/>
              </w:rPr>
              <w:t xml:space="preserve"> for the prevention, </w:t>
            </w:r>
            <w:proofErr w:type="gramStart"/>
            <w:r w:rsidRPr="009B39EC">
              <w:rPr>
                <w:rFonts w:ascii="Arial" w:hAnsi="Arial" w:cs="Arial"/>
                <w:sz w:val="20"/>
                <w:szCs w:val="20"/>
                <w:lang w:val="en-GB"/>
              </w:rPr>
              <w:t>protection</w:t>
            </w:r>
            <w:proofErr w:type="gramEnd"/>
            <w:r w:rsidRPr="009B39EC">
              <w:rPr>
                <w:rFonts w:ascii="Arial" w:hAnsi="Arial" w:cs="Arial"/>
                <w:sz w:val="20"/>
                <w:szCs w:val="20"/>
                <w:lang w:val="en-GB"/>
              </w:rPr>
              <w:t xml:space="preserve"> and support of victims of domestic violence, mainly women and </w:t>
            </w:r>
            <w:r w:rsidR="00445CB5" w:rsidRPr="009B39EC">
              <w:rPr>
                <w:rFonts w:ascii="Arial" w:hAnsi="Arial" w:cs="Arial"/>
                <w:sz w:val="20"/>
                <w:szCs w:val="20"/>
                <w:lang w:val="en-GB"/>
              </w:rPr>
              <w:t>girls, as</w:t>
            </w:r>
            <w:r w:rsidR="00204643" w:rsidRPr="009B39EC">
              <w:rPr>
                <w:rFonts w:ascii="Arial" w:hAnsi="Arial" w:cs="Arial"/>
                <w:sz w:val="20"/>
                <w:szCs w:val="20"/>
                <w:lang w:val="en-GB"/>
              </w:rPr>
              <w:t xml:space="preserve"> well as </w:t>
            </w:r>
            <w:r w:rsidR="00846A69" w:rsidRPr="009B39EC">
              <w:rPr>
                <w:rFonts w:ascii="Arial" w:hAnsi="Arial" w:cs="Arial"/>
                <w:sz w:val="20"/>
                <w:szCs w:val="20"/>
                <w:lang w:val="en-GB"/>
              </w:rPr>
              <w:t>aiding</w:t>
            </w:r>
            <w:r w:rsidR="00204643" w:rsidRPr="009B39EC">
              <w:rPr>
                <w:rFonts w:ascii="Arial" w:hAnsi="Arial" w:cs="Arial"/>
                <w:sz w:val="20"/>
                <w:szCs w:val="20"/>
                <w:lang w:val="en-GB"/>
              </w:rPr>
              <w:t xml:space="preserve"> in intensifying institutional action in this respect. The Office is composed of representatives from the Ministry of Justice, Ministry of </w:t>
            </w:r>
            <w:r w:rsidR="00445CB5" w:rsidRPr="009B39EC">
              <w:rPr>
                <w:rFonts w:ascii="Arial" w:hAnsi="Arial" w:cs="Arial"/>
                <w:sz w:val="20"/>
                <w:szCs w:val="20"/>
                <w:lang w:val="en-GB"/>
              </w:rPr>
              <w:t>Health</w:t>
            </w:r>
            <w:r w:rsidR="00204643" w:rsidRPr="009B39EC">
              <w:rPr>
                <w:rFonts w:ascii="Arial" w:hAnsi="Arial" w:cs="Arial"/>
                <w:sz w:val="20"/>
                <w:szCs w:val="20"/>
                <w:lang w:val="en-GB"/>
              </w:rPr>
              <w:t xml:space="preserve"> and Social Protection (</w:t>
            </w:r>
            <w:r w:rsidR="000D088F" w:rsidRPr="009B39EC">
              <w:rPr>
                <w:rFonts w:ascii="Arial" w:hAnsi="Arial" w:cs="Arial"/>
                <w:sz w:val="20"/>
                <w:szCs w:val="20"/>
                <w:lang w:val="en-GB"/>
              </w:rPr>
              <w:t xml:space="preserve">the </w:t>
            </w:r>
            <w:r w:rsidR="00204643" w:rsidRPr="009B39EC">
              <w:rPr>
                <w:rFonts w:ascii="Arial" w:hAnsi="Arial" w:cs="Arial"/>
                <w:sz w:val="20"/>
                <w:szCs w:val="20"/>
                <w:lang w:val="en-GB"/>
              </w:rPr>
              <w:t>State Social Service) and the Ministry of the Interior (the Crimes Department under the Domestic Violence and Protection of Minors Section</w:t>
            </w:r>
            <w:r w:rsidR="00E93F84" w:rsidRPr="009B39EC">
              <w:rPr>
                <w:rFonts w:ascii="Arial" w:hAnsi="Arial" w:cs="Arial"/>
                <w:sz w:val="20"/>
                <w:szCs w:val="20"/>
                <w:lang w:val="en-GB"/>
              </w:rPr>
              <w:t>).</w:t>
            </w:r>
          </w:p>
          <w:p w14:paraId="3522F954" w14:textId="77777777" w:rsidR="00E93F84" w:rsidRPr="009B39EC" w:rsidRDefault="00E93F84" w:rsidP="00E93F84">
            <w:pPr>
              <w:jc w:val="both"/>
              <w:rPr>
                <w:rFonts w:ascii="Arial" w:hAnsi="Arial" w:cs="Arial"/>
                <w:sz w:val="20"/>
                <w:szCs w:val="20"/>
                <w:lang w:val="en-GB"/>
              </w:rPr>
            </w:pPr>
          </w:p>
          <w:p w14:paraId="19C3D446" w14:textId="36F879FF" w:rsidR="00E93F84" w:rsidRPr="009B39EC" w:rsidRDefault="005930EB" w:rsidP="00E93F84">
            <w:pPr>
              <w:jc w:val="both"/>
              <w:rPr>
                <w:rFonts w:ascii="Arial" w:hAnsi="Arial" w:cs="Arial"/>
                <w:sz w:val="20"/>
                <w:szCs w:val="20"/>
                <w:lang w:val="en-GB"/>
              </w:rPr>
            </w:pPr>
            <w:r w:rsidRPr="009B39EC">
              <w:rPr>
                <w:rFonts w:ascii="Arial" w:hAnsi="Arial" w:cs="Arial"/>
                <w:b/>
                <w:bCs/>
                <w:sz w:val="20"/>
                <w:szCs w:val="20"/>
                <w:lang w:val="en-GB"/>
              </w:rPr>
              <w:t>The Deputy Prime Minister</w:t>
            </w:r>
            <w:r w:rsidR="00E93F84" w:rsidRPr="009B39EC">
              <w:rPr>
                <w:rFonts w:ascii="Arial" w:hAnsi="Arial" w:cs="Arial"/>
                <w:sz w:val="20"/>
                <w:szCs w:val="20"/>
                <w:lang w:val="en-GB"/>
              </w:rPr>
              <w:t xml:space="preserve"> </w:t>
            </w:r>
            <w:r w:rsidR="004826C2" w:rsidRPr="009B39EC">
              <w:rPr>
                <w:rFonts w:ascii="Arial" w:hAnsi="Arial" w:cs="Arial"/>
                <w:sz w:val="20"/>
                <w:szCs w:val="20"/>
                <w:lang w:val="en-GB"/>
              </w:rPr>
              <w:t xml:space="preserve">was </w:t>
            </w:r>
            <w:r w:rsidRPr="009B39EC">
              <w:rPr>
                <w:rFonts w:ascii="Arial" w:hAnsi="Arial" w:cs="Arial"/>
                <w:sz w:val="20"/>
                <w:szCs w:val="20"/>
                <w:lang w:val="en-GB"/>
              </w:rPr>
              <w:t xml:space="preserve">appointed national coordinator on gender equality </w:t>
            </w:r>
            <w:r w:rsidR="00E93F84" w:rsidRPr="009B39EC">
              <w:rPr>
                <w:rFonts w:ascii="Arial" w:hAnsi="Arial" w:cs="Arial"/>
                <w:sz w:val="20"/>
                <w:szCs w:val="20"/>
                <w:lang w:val="en-GB"/>
              </w:rPr>
              <w:t>(</w:t>
            </w:r>
            <w:r w:rsidRPr="009B39EC">
              <w:rPr>
                <w:rFonts w:ascii="Arial" w:hAnsi="Arial" w:cs="Arial"/>
                <w:sz w:val="20"/>
                <w:szCs w:val="20"/>
                <w:lang w:val="en-GB"/>
              </w:rPr>
              <w:t xml:space="preserve">pursuant to </w:t>
            </w:r>
            <w:r w:rsidR="00D419AB" w:rsidRPr="009B39EC">
              <w:rPr>
                <w:rFonts w:ascii="Arial" w:hAnsi="Arial" w:cs="Arial"/>
                <w:sz w:val="20"/>
                <w:szCs w:val="20"/>
                <w:lang w:val="en-GB"/>
              </w:rPr>
              <w:t xml:space="preserve">Order of the </w:t>
            </w:r>
            <w:r w:rsidRPr="009B39EC">
              <w:rPr>
                <w:rFonts w:ascii="Arial" w:hAnsi="Arial" w:cs="Arial"/>
                <w:sz w:val="20"/>
                <w:szCs w:val="20"/>
                <w:lang w:val="en-GB"/>
              </w:rPr>
              <w:t>Prime Minister No.</w:t>
            </w:r>
            <w:r w:rsidR="00E93F84" w:rsidRPr="009B39EC">
              <w:rPr>
                <w:rFonts w:ascii="Arial" w:hAnsi="Arial" w:cs="Arial"/>
                <w:sz w:val="20"/>
                <w:szCs w:val="20"/>
                <w:lang w:val="en-GB"/>
              </w:rPr>
              <w:t xml:space="preserve"> 32/2018) </w:t>
            </w:r>
            <w:r w:rsidR="00D419AB" w:rsidRPr="009B39EC">
              <w:rPr>
                <w:rFonts w:ascii="Arial" w:hAnsi="Arial" w:cs="Arial"/>
                <w:sz w:val="20"/>
                <w:szCs w:val="20"/>
                <w:lang w:val="en-GB"/>
              </w:rPr>
              <w:t>and has a coordinating role in the strengthening of the national mechanism on gender equality</w:t>
            </w:r>
            <w:r w:rsidR="00E93F84" w:rsidRPr="009B39EC">
              <w:rPr>
                <w:rFonts w:ascii="Arial" w:hAnsi="Arial" w:cs="Arial"/>
                <w:sz w:val="20"/>
                <w:szCs w:val="20"/>
                <w:lang w:val="en-GB"/>
              </w:rPr>
              <w:t>.</w:t>
            </w:r>
          </w:p>
          <w:p w14:paraId="46D8D27F" w14:textId="17EC8796" w:rsidR="00E93F84" w:rsidRPr="009B39EC" w:rsidRDefault="00E93F84" w:rsidP="00E93F84">
            <w:pPr>
              <w:jc w:val="both"/>
              <w:rPr>
                <w:rFonts w:ascii="Arial" w:hAnsi="Arial" w:cs="Arial"/>
                <w:sz w:val="20"/>
                <w:szCs w:val="20"/>
                <w:lang w:val="en-GB"/>
              </w:rPr>
            </w:pPr>
          </w:p>
          <w:p w14:paraId="681A3B10" w14:textId="7247CE36" w:rsidR="00E93F84" w:rsidRPr="009B39EC" w:rsidRDefault="004826C2" w:rsidP="00E93F84">
            <w:pPr>
              <w:jc w:val="both"/>
              <w:rPr>
                <w:rFonts w:ascii="Arial" w:hAnsi="Arial" w:cs="Arial"/>
                <w:sz w:val="20"/>
                <w:szCs w:val="20"/>
                <w:lang w:val="en-GB"/>
              </w:rPr>
            </w:pPr>
            <w:r w:rsidRPr="009B39EC">
              <w:rPr>
                <w:rFonts w:ascii="Arial" w:hAnsi="Arial" w:cs="Arial"/>
                <w:b/>
                <w:bCs/>
                <w:sz w:val="20"/>
                <w:szCs w:val="20"/>
                <w:lang w:val="en-GB"/>
              </w:rPr>
              <w:t>Local and central government institutions</w:t>
            </w:r>
            <w:r w:rsidR="00E93F84" w:rsidRPr="009B39EC">
              <w:rPr>
                <w:rFonts w:ascii="Arial" w:hAnsi="Arial" w:cs="Arial"/>
                <w:sz w:val="20"/>
                <w:szCs w:val="20"/>
                <w:lang w:val="en-GB"/>
              </w:rPr>
              <w:t xml:space="preserve"> </w:t>
            </w:r>
            <w:r w:rsidR="000D088F" w:rsidRPr="009B39EC">
              <w:rPr>
                <w:rFonts w:ascii="Arial" w:hAnsi="Arial" w:cs="Arial"/>
                <w:sz w:val="20"/>
                <w:szCs w:val="20"/>
                <w:lang w:val="en-GB"/>
              </w:rPr>
              <w:t>are required by law</w:t>
            </w:r>
            <w:r w:rsidRPr="009B39EC">
              <w:rPr>
                <w:rFonts w:ascii="Arial" w:hAnsi="Arial" w:cs="Arial"/>
                <w:sz w:val="20"/>
                <w:szCs w:val="20"/>
                <w:lang w:val="en-GB"/>
              </w:rPr>
              <w:t xml:space="preserve"> to collaborate with the Minister in charge of gender equality issues, to exchange information and assist in the </w:t>
            </w:r>
            <w:r w:rsidR="000D088F" w:rsidRPr="009B39EC">
              <w:rPr>
                <w:rFonts w:ascii="Arial" w:hAnsi="Arial" w:cs="Arial"/>
                <w:sz w:val="20"/>
                <w:szCs w:val="20"/>
                <w:lang w:val="en-GB"/>
              </w:rPr>
              <w:t xml:space="preserve">fulfilment of this </w:t>
            </w:r>
            <w:r w:rsidRPr="009B39EC">
              <w:rPr>
                <w:rFonts w:ascii="Arial" w:hAnsi="Arial" w:cs="Arial"/>
                <w:sz w:val="20"/>
                <w:szCs w:val="20"/>
                <w:lang w:val="en-GB"/>
              </w:rPr>
              <w:t>function</w:t>
            </w:r>
            <w:r w:rsidR="00E93F84" w:rsidRPr="009B39EC">
              <w:rPr>
                <w:rFonts w:ascii="Arial" w:hAnsi="Arial" w:cs="Arial"/>
                <w:sz w:val="20"/>
                <w:szCs w:val="20"/>
                <w:lang w:val="en-GB"/>
              </w:rPr>
              <w:t xml:space="preserve">. </w:t>
            </w:r>
            <w:r w:rsidRPr="009B39EC">
              <w:rPr>
                <w:rFonts w:ascii="Arial" w:hAnsi="Arial" w:cs="Arial"/>
                <w:sz w:val="20"/>
                <w:szCs w:val="20"/>
                <w:lang w:val="en-GB"/>
              </w:rPr>
              <w:t xml:space="preserve">This collaboration is facilitated by Gender Equality </w:t>
            </w:r>
            <w:proofErr w:type="spellStart"/>
            <w:r w:rsidR="00583900" w:rsidRPr="009B39EC">
              <w:rPr>
                <w:rFonts w:ascii="Arial" w:hAnsi="Arial" w:cs="Arial"/>
                <w:sz w:val="20"/>
                <w:szCs w:val="20"/>
                <w:lang w:val="en-GB"/>
              </w:rPr>
              <w:t>Oficers</w:t>
            </w:r>
            <w:proofErr w:type="spellEnd"/>
            <w:r w:rsidR="00583900" w:rsidRPr="009B39EC">
              <w:rPr>
                <w:rFonts w:ascii="Arial" w:hAnsi="Arial" w:cs="Arial"/>
                <w:sz w:val="20"/>
                <w:szCs w:val="20"/>
                <w:lang w:val="en-GB"/>
              </w:rPr>
              <w:t xml:space="preserve"> </w:t>
            </w:r>
            <w:r w:rsidRPr="009B39EC">
              <w:rPr>
                <w:rFonts w:ascii="Arial" w:hAnsi="Arial" w:cs="Arial"/>
                <w:sz w:val="20"/>
                <w:szCs w:val="20"/>
                <w:lang w:val="en-GB"/>
              </w:rPr>
              <w:t>(GE</w:t>
            </w:r>
            <w:r w:rsidR="00583900" w:rsidRPr="009B39EC">
              <w:rPr>
                <w:rFonts w:ascii="Arial" w:hAnsi="Arial" w:cs="Arial"/>
                <w:sz w:val="20"/>
                <w:szCs w:val="20"/>
                <w:lang w:val="en-GB"/>
              </w:rPr>
              <w:t>O</w:t>
            </w:r>
            <w:r w:rsidRPr="009B39EC">
              <w:rPr>
                <w:rFonts w:ascii="Arial" w:hAnsi="Arial" w:cs="Arial"/>
                <w:sz w:val="20"/>
                <w:szCs w:val="20"/>
                <w:lang w:val="en-GB"/>
              </w:rPr>
              <w:t xml:space="preserve">s). </w:t>
            </w:r>
            <w:r w:rsidR="000D088F" w:rsidRPr="009B39EC">
              <w:rPr>
                <w:rFonts w:ascii="Arial" w:hAnsi="Arial" w:cs="Arial"/>
                <w:sz w:val="20"/>
                <w:szCs w:val="20"/>
                <w:lang w:val="en-GB"/>
              </w:rPr>
              <w:t>At the central level, 11</w:t>
            </w:r>
            <w:r w:rsidR="00445CB5" w:rsidRPr="009B39EC">
              <w:rPr>
                <w:rFonts w:ascii="Arial" w:hAnsi="Arial" w:cs="Arial"/>
                <w:sz w:val="20"/>
                <w:szCs w:val="20"/>
                <w:lang w:val="en-GB"/>
              </w:rPr>
              <w:t xml:space="preserve"> GE</w:t>
            </w:r>
            <w:r w:rsidR="00583900" w:rsidRPr="009B39EC">
              <w:rPr>
                <w:rFonts w:ascii="Arial" w:hAnsi="Arial" w:cs="Arial"/>
                <w:sz w:val="20"/>
                <w:szCs w:val="20"/>
                <w:lang w:val="en-GB"/>
              </w:rPr>
              <w:t>O</w:t>
            </w:r>
            <w:r w:rsidR="00445CB5" w:rsidRPr="009B39EC">
              <w:rPr>
                <w:rFonts w:ascii="Arial" w:hAnsi="Arial" w:cs="Arial"/>
                <w:sz w:val="20"/>
                <w:szCs w:val="20"/>
                <w:lang w:val="en-GB"/>
              </w:rPr>
              <w:t>s have been appointed in the line ministries and the State Police and INSTAT</w:t>
            </w:r>
            <w:r w:rsidR="000D088F" w:rsidRPr="009B39EC">
              <w:rPr>
                <w:rFonts w:ascii="Arial" w:hAnsi="Arial" w:cs="Arial"/>
                <w:sz w:val="20"/>
                <w:szCs w:val="20"/>
                <w:lang w:val="en-GB"/>
              </w:rPr>
              <w:t xml:space="preserve"> have appointed contact points for the same </w:t>
            </w:r>
            <w:r w:rsidR="00846A69" w:rsidRPr="009B39EC">
              <w:rPr>
                <w:rFonts w:ascii="Arial" w:hAnsi="Arial" w:cs="Arial"/>
                <w:sz w:val="20"/>
                <w:szCs w:val="20"/>
                <w:lang w:val="en-GB"/>
              </w:rPr>
              <w:t>purpose</w:t>
            </w:r>
            <w:r w:rsidR="00E93F84" w:rsidRPr="009B39EC">
              <w:rPr>
                <w:rFonts w:ascii="Arial" w:hAnsi="Arial" w:cs="Arial"/>
                <w:sz w:val="20"/>
                <w:szCs w:val="20"/>
                <w:lang w:val="en-GB"/>
              </w:rPr>
              <w:t xml:space="preserve">. </w:t>
            </w:r>
            <w:r w:rsidR="00445CB5" w:rsidRPr="009B39EC">
              <w:rPr>
                <w:rFonts w:ascii="Arial" w:hAnsi="Arial" w:cs="Arial"/>
                <w:sz w:val="20"/>
                <w:szCs w:val="20"/>
                <w:lang w:val="en-GB"/>
              </w:rPr>
              <w:t>At the local level, all 6</w:t>
            </w:r>
            <w:r w:rsidR="000D088F" w:rsidRPr="009B39EC">
              <w:rPr>
                <w:rFonts w:ascii="Arial" w:hAnsi="Arial" w:cs="Arial"/>
                <w:sz w:val="20"/>
                <w:szCs w:val="20"/>
                <w:lang w:val="en-GB"/>
              </w:rPr>
              <w:t xml:space="preserve">1 </w:t>
            </w:r>
            <w:r w:rsidR="00445CB5" w:rsidRPr="009B39EC">
              <w:rPr>
                <w:rFonts w:ascii="Arial" w:hAnsi="Arial" w:cs="Arial"/>
                <w:sz w:val="20"/>
                <w:szCs w:val="20"/>
                <w:lang w:val="en-GB"/>
              </w:rPr>
              <w:t>municipalities have appointed GE</w:t>
            </w:r>
            <w:r w:rsidR="00583900" w:rsidRPr="009B39EC">
              <w:rPr>
                <w:rFonts w:ascii="Arial" w:hAnsi="Arial" w:cs="Arial"/>
                <w:sz w:val="20"/>
                <w:szCs w:val="20"/>
                <w:lang w:val="en-GB"/>
              </w:rPr>
              <w:t>O</w:t>
            </w:r>
            <w:r w:rsidR="00445CB5" w:rsidRPr="009B39EC">
              <w:rPr>
                <w:rFonts w:ascii="Arial" w:hAnsi="Arial" w:cs="Arial"/>
                <w:sz w:val="20"/>
                <w:szCs w:val="20"/>
                <w:lang w:val="en-GB"/>
              </w:rPr>
              <w:t>s</w:t>
            </w:r>
            <w:r w:rsidR="00E93F84" w:rsidRPr="009B39EC">
              <w:rPr>
                <w:rFonts w:ascii="Arial" w:hAnsi="Arial" w:cs="Arial"/>
                <w:sz w:val="20"/>
                <w:szCs w:val="20"/>
                <w:lang w:val="en-GB"/>
              </w:rPr>
              <w:t xml:space="preserve">, </w:t>
            </w:r>
            <w:r w:rsidR="00445CB5" w:rsidRPr="009B39EC">
              <w:rPr>
                <w:rFonts w:ascii="Arial" w:hAnsi="Arial" w:cs="Arial"/>
                <w:sz w:val="20"/>
                <w:szCs w:val="20"/>
                <w:lang w:val="en-GB"/>
              </w:rPr>
              <w:t xml:space="preserve">who also serve as </w:t>
            </w:r>
            <w:r w:rsidR="00583900" w:rsidRPr="009B39EC">
              <w:rPr>
                <w:rFonts w:ascii="Arial" w:hAnsi="Arial" w:cs="Arial"/>
                <w:sz w:val="20"/>
                <w:szCs w:val="20"/>
                <w:lang w:val="en-GB"/>
              </w:rPr>
              <w:t>L</w:t>
            </w:r>
            <w:r w:rsidR="00445CB5" w:rsidRPr="009B39EC">
              <w:rPr>
                <w:rFonts w:ascii="Arial" w:hAnsi="Arial" w:cs="Arial"/>
                <w:sz w:val="20"/>
                <w:szCs w:val="20"/>
                <w:lang w:val="en-GB"/>
              </w:rPr>
              <w:t xml:space="preserve">ocal </w:t>
            </w:r>
            <w:r w:rsidR="00583900" w:rsidRPr="009B39EC">
              <w:rPr>
                <w:rFonts w:ascii="Arial" w:hAnsi="Arial" w:cs="Arial"/>
                <w:sz w:val="20"/>
                <w:szCs w:val="20"/>
                <w:lang w:val="en-GB"/>
              </w:rPr>
              <w:t>C</w:t>
            </w:r>
            <w:r w:rsidR="00445CB5" w:rsidRPr="009B39EC">
              <w:rPr>
                <w:rFonts w:ascii="Arial" w:hAnsi="Arial" w:cs="Arial"/>
                <w:sz w:val="20"/>
                <w:szCs w:val="20"/>
                <w:lang w:val="en-GB"/>
              </w:rPr>
              <w:t>oordinators for domestic violence issues</w:t>
            </w:r>
            <w:r w:rsidR="00E93F84" w:rsidRPr="009B39EC">
              <w:rPr>
                <w:rFonts w:ascii="Arial" w:hAnsi="Arial" w:cs="Arial"/>
                <w:sz w:val="20"/>
                <w:szCs w:val="20"/>
                <w:lang w:val="en-GB"/>
              </w:rPr>
              <w:t>.</w:t>
            </w:r>
          </w:p>
          <w:p w14:paraId="1A53EEC1" w14:textId="67EA8555" w:rsidR="00583900" w:rsidRPr="009B39EC" w:rsidRDefault="00583900" w:rsidP="00E93F84">
            <w:pPr>
              <w:jc w:val="both"/>
              <w:rPr>
                <w:rFonts w:ascii="Arial" w:hAnsi="Arial" w:cs="Arial"/>
                <w:sz w:val="20"/>
                <w:szCs w:val="20"/>
                <w:lang w:val="en-GB"/>
              </w:rPr>
            </w:pPr>
            <w:r w:rsidRPr="009B39EC">
              <w:rPr>
                <w:rFonts w:ascii="Arial" w:hAnsi="Arial" w:cs="Arial"/>
                <w:sz w:val="20"/>
                <w:szCs w:val="20"/>
                <w:lang w:val="en-GB"/>
              </w:rPr>
              <w:lastRenderedPageBreak/>
              <w:t xml:space="preserve">Also </w:t>
            </w:r>
            <w:r w:rsidRPr="009B39EC">
              <w:rPr>
                <w:rFonts w:ascii="Arial" w:hAnsi="Arial" w:cs="Arial"/>
                <w:b/>
                <w:bCs/>
                <w:sz w:val="20"/>
                <w:szCs w:val="20"/>
                <w:lang w:val="en-GB"/>
              </w:rPr>
              <w:t>at the local level</w:t>
            </w:r>
            <w:r w:rsidRPr="009B39EC">
              <w:rPr>
                <w:rFonts w:ascii="Arial" w:hAnsi="Arial" w:cs="Arial"/>
                <w:sz w:val="20"/>
                <w:szCs w:val="20"/>
                <w:lang w:val="en-GB"/>
              </w:rPr>
              <w:t xml:space="preserve">, based on Law 9669/2016 "On measures against violence in family relations", as amended, there are established the </w:t>
            </w:r>
            <w:r w:rsidRPr="009B39EC">
              <w:rPr>
                <w:rFonts w:ascii="Arial" w:hAnsi="Arial" w:cs="Arial"/>
                <w:b/>
                <w:bCs/>
                <w:sz w:val="20"/>
                <w:szCs w:val="20"/>
                <w:lang w:val="en-GB"/>
              </w:rPr>
              <w:t>Coordinated Referral Mechanisms of domestic violence’ cases (CRM)</w:t>
            </w:r>
            <w:r w:rsidRPr="009B39EC">
              <w:rPr>
                <w:rFonts w:ascii="Arial" w:hAnsi="Arial" w:cs="Arial"/>
                <w:sz w:val="20"/>
                <w:szCs w:val="20"/>
                <w:lang w:val="en-GB"/>
              </w:rPr>
              <w:t>, led by municipalities (responsible authorities for establishing and empowerment of these mechanisms) and based on the philosophy of a coordinated multi-sectoral approach.</w:t>
            </w:r>
            <w:r w:rsidR="0091775D" w:rsidRPr="009B39EC">
              <w:rPr>
                <w:rFonts w:ascii="Arial" w:hAnsi="Arial" w:cs="Arial"/>
                <w:sz w:val="20"/>
                <w:szCs w:val="20"/>
                <w:lang w:val="en-GB"/>
              </w:rPr>
              <w:t xml:space="preserve"> </w:t>
            </w:r>
            <w:r w:rsidRPr="009B39EC">
              <w:rPr>
                <w:rFonts w:ascii="Arial" w:hAnsi="Arial" w:cs="Arial"/>
                <w:sz w:val="20"/>
                <w:szCs w:val="20"/>
                <w:lang w:val="en-GB"/>
              </w:rPr>
              <w:t>CRM</w:t>
            </w:r>
            <w:r w:rsidR="002367FA" w:rsidRPr="009B39EC">
              <w:rPr>
                <w:rFonts w:ascii="Arial" w:hAnsi="Arial" w:cs="Arial"/>
                <w:sz w:val="20"/>
                <w:szCs w:val="20"/>
                <w:lang w:val="en-GB"/>
              </w:rPr>
              <w:t>s</w:t>
            </w:r>
            <w:r w:rsidRPr="009B39EC">
              <w:rPr>
                <w:rFonts w:ascii="Arial" w:hAnsi="Arial" w:cs="Arial"/>
                <w:sz w:val="20"/>
                <w:szCs w:val="20"/>
                <w:lang w:val="en-GB"/>
              </w:rPr>
              <w:t xml:space="preserve"> ha</w:t>
            </w:r>
            <w:r w:rsidR="002367FA" w:rsidRPr="009B39EC">
              <w:rPr>
                <w:rFonts w:ascii="Arial" w:hAnsi="Arial" w:cs="Arial"/>
                <w:sz w:val="20"/>
                <w:szCs w:val="20"/>
                <w:lang w:val="en-GB"/>
              </w:rPr>
              <w:t>ve</w:t>
            </w:r>
            <w:r w:rsidRPr="009B39EC">
              <w:rPr>
                <w:rFonts w:ascii="Arial" w:hAnsi="Arial" w:cs="Arial"/>
                <w:sz w:val="20"/>
                <w:szCs w:val="20"/>
                <w:lang w:val="en-GB"/>
              </w:rPr>
              <w:t xml:space="preserve"> in </w:t>
            </w:r>
            <w:r w:rsidR="002367FA" w:rsidRPr="009B39EC">
              <w:rPr>
                <w:rFonts w:ascii="Arial" w:hAnsi="Arial" w:cs="Arial"/>
                <w:sz w:val="20"/>
                <w:szCs w:val="20"/>
                <w:lang w:val="en-GB"/>
              </w:rPr>
              <w:t>their</w:t>
            </w:r>
            <w:r w:rsidRPr="009B39EC">
              <w:rPr>
                <w:rFonts w:ascii="Arial" w:hAnsi="Arial" w:cs="Arial"/>
                <w:sz w:val="20"/>
                <w:szCs w:val="20"/>
                <w:lang w:val="en-GB"/>
              </w:rPr>
              <w:t xml:space="preserve"> composition all local institutions responsible for the implementation of the legal framework </w:t>
            </w:r>
            <w:r w:rsidR="003B3009" w:rsidRPr="009B39EC">
              <w:rPr>
                <w:rFonts w:ascii="Arial" w:hAnsi="Arial" w:cs="Arial"/>
                <w:sz w:val="20"/>
                <w:szCs w:val="20"/>
                <w:lang w:val="en-GB"/>
              </w:rPr>
              <w:t>related to</w:t>
            </w:r>
            <w:r w:rsidRPr="009B39EC">
              <w:rPr>
                <w:rFonts w:ascii="Arial" w:hAnsi="Arial" w:cs="Arial"/>
                <w:sz w:val="20"/>
                <w:szCs w:val="20"/>
                <w:lang w:val="en-GB"/>
              </w:rPr>
              <w:t xml:space="preserve"> violence against women and domestic violence (municipality and its social services, police, prosecution, court, forensic doctor, bailiff, health, education, state social service, employment, probation service, county prefect, etc.), as well as civil society organizations specialized in providing the necessary </w:t>
            </w:r>
            <w:r w:rsidR="004E12E5" w:rsidRPr="009B39EC">
              <w:rPr>
                <w:rFonts w:ascii="Arial" w:hAnsi="Arial" w:cs="Arial"/>
                <w:sz w:val="20"/>
                <w:szCs w:val="20"/>
                <w:lang w:val="en-GB"/>
              </w:rPr>
              <w:t xml:space="preserve">specialist </w:t>
            </w:r>
            <w:r w:rsidRPr="009B39EC">
              <w:rPr>
                <w:rFonts w:ascii="Arial" w:hAnsi="Arial" w:cs="Arial"/>
                <w:sz w:val="20"/>
                <w:szCs w:val="20"/>
                <w:lang w:val="en-GB"/>
              </w:rPr>
              <w:t>support services for case</w:t>
            </w:r>
            <w:r w:rsidR="00FF0046" w:rsidRPr="009B39EC">
              <w:rPr>
                <w:rFonts w:ascii="Arial" w:hAnsi="Arial" w:cs="Arial"/>
                <w:sz w:val="20"/>
                <w:szCs w:val="20"/>
                <w:lang w:val="en-GB"/>
              </w:rPr>
              <w:t xml:space="preserve">s’ </w:t>
            </w:r>
            <w:r w:rsidRPr="009B39EC">
              <w:rPr>
                <w:rFonts w:ascii="Arial" w:hAnsi="Arial" w:cs="Arial"/>
                <w:sz w:val="20"/>
                <w:szCs w:val="20"/>
                <w:lang w:val="en-GB"/>
              </w:rPr>
              <w:t xml:space="preserve">management and intervention </w:t>
            </w:r>
            <w:r w:rsidR="004E12E5" w:rsidRPr="009B39EC">
              <w:rPr>
                <w:rFonts w:ascii="Arial" w:hAnsi="Arial" w:cs="Arial"/>
                <w:sz w:val="20"/>
                <w:szCs w:val="20"/>
                <w:lang w:val="en-GB"/>
              </w:rPr>
              <w:t>on</w:t>
            </w:r>
            <w:r w:rsidRPr="009B39EC">
              <w:rPr>
                <w:rFonts w:ascii="Arial" w:hAnsi="Arial" w:cs="Arial"/>
                <w:sz w:val="20"/>
                <w:szCs w:val="20"/>
                <w:lang w:val="en-GB"/>
              </w:rPr>
              <w:t xml:space="preserve"> prevention and awareness of </w:t>
            </w:r>
            <w:r w:rsidR="004E12E5" w:rsidRPr="009B39EC">
              <w:rPr>
                <w:rFonts w:ascii="Arial" w:hAnsi="Arial" w:cs="Arial"/>
                <w:sz w:val="20"/>
                <w:szCs w:val="20"/>
                <w:lang w:val="en-GB"/>
              </w:rPr>
              <w:t xml:space="preserve">entire </w:t>
            </w:r>
            <w:r w:rsidRPr="009B39EC">
              <w:rPr>
                <w:rFonts w:ascii="Arial" w:hAnsi="Arial" w:cs="Arial"/>
                <w:sz w:val="20"/>
                <w:szCs w:val="20"/>
                <w:lang w:val="en-GB"/>
              </w:rPr>
              <w:t xml:space="preserve">society (organizations that provide </w:t>
            </w:r>
            <w:r w:rsidR="00FF0046" w:rsidRPr="009B39EC">
              <w:rPr>
                <w:rFonts w:ascii="Arial" w:hAnsi="Arial" w:cs="Arial"/>
                <w:sz w:val="20"/>
                <w:szCs w:val="20"/>
                <w:lang w:val="en-GB"/>
              </w:rPr>
              <w:t>sheltering</w:t>
            </w:r>
            <w:r w:rsidRPr="009B39EC">
              <w:rPr>
                <w:rFonts w:ascii="Arial" w:hAnsi="Arial" w:cs="Arial"/>
                <w:sz w:val="20"/>
                <w:szCs w:val="20"/>
                <w:lang w:val="en-GB"/>
              </w:rPr>
              <w:t xml:space="preserve"> services, psycho-emotional or legal </w:t>
            </w:r>
            <w:proofErr w:type="spellStart"/>
            <w:r w:rsidRPr="009B39EC">
              <w:rPr>
                <w:rFonts w:ascii="Arial" w:hAnsi="Arial" w:cs="Arial"/>
                <w:sz w:val="20"/>
                <w:szCs w:val="20"/>
                <w:lang w:val="en-GB"/>
              </w:rPr>
              <w:t>counseling</w:t>
            </w:r>
            <w:proofErr w:type="spellEnd"/>
            <w:r w:rsidRPr="009B39EC">
              <w:rPr>
                <w:rFonts w:ascii="Arial" w:hAnsi="Arial" w:cs="Arial"/>
                <w:sz w:val="20"/>
                <w:szCs w:val="20"/>
                <w:lang w:val="en-GB"/>
              </w:rPr>
              <w:t>, rehabilitation and reintegration services, information</w:t>
            </w:r>
            <w:r w:rsidR="00FF0046" w:rsidRPr="009B39EC">
              <w:rPr>
                <w:rFonts w:ascii="Arial" w:hAnsi="Arial" w:cs="Arial"/>
                <w:sz w:val="20"/>
                <w:szCs w:val="20"/>
                <w:lang w:val="en-GB"/>
              </w:rPr>
              <w:t xml:space="preserve"> and awareness</w:t>
            </w:r>
            <w:r w:rsidRPr="009B39EC">
              <w:rPr>
                <w:rFonts w:ascii="Arial" w:hAnsi="Arial" w:cs="Arial"/>
                <w:sz w:val="20"/>
                <w:szCs w:val="20"/>
                <w:lang w:val="en-GB"/>
              </w:rPr>
              <w:t>, capacity building activities for professionals, etc.).</w:t>
            </w:r>
            <w:r w:rsidR="0091775D" w:rsidRPr="009B39EC">
              <w:rPr>
                <w:rFonts w:ascii="Arial" w:hAnsi="Arial" w:cs="Arial"/>
                <w:sz w:val="20"/>
                <w:szCs w:val="20"/>
                <w:lang w:val="en-GB"/>
              </w:rPr>
              <w:t xml:space="preserve"> In </w:t>
            </w:r>
            <w:proofErr w:type="spellStart"/>
            <w:r w:rsidR="0091775D" w:rsidRPr="009B39EC">
              <w:rPr>
                <w:rFonts w:ascii="Arial" w:hAnsi="Arial" w:cs="Arial"/>
                <w:sz w:val="20"/>
                <w:szCs w:val="20"/>
                <w:lang w:val="en-GB"/>
              </w:rPr>
              <w:t>fulfillment</w:t>
            </w:r>
            <w:proofErr w:type="spellEnd"/>
            <w:r w:rsidR="0091775D" w:rsidRPr="009B39EC">
              <w:rPr>
                <w:rFonts w:ascii="Arial" w:hAnsi="Arial" w:cs="Arial"/>
                <w:sz w:val="20"/>
                <w:szCs w:val="20"/>
                <w:lang w:val="en-GB"/>
              </w:rPr>
              <w:t xml:space="preserve"> of the legal obligation and as planned in the National Strategy for Gender Equality 2016-2020, CRMs have already been established in all municipalities in the country (61 municipalities). Meanwhile, work is underway to strengthen and increase their effectiveness and accountability in the way of handling cases according to the philosophy that characterizes them, as well as to perform all functions (not only that of case management in a multi-sectoral coordinated approach, but also functions related to coordination, prevention and information, training and capacity building of professionals, data collection, </w:t>
            </w:r>
            <w:r w:rsidR="009C6CA1" w:rsidRPr="009B39EC">
              <w:rPr>
                <w:rFonts w:ascii="Arial" w:hAnsi="Arial" w:cs="Arial"/>
                <w:sz w:val="20"/>
                <w:szCs w:val="20"/>
                <w:lang w:val="en-GB"/>
              </w:rPr>
              <w:t>processing,</w:t>
            </w:r>
            <w:r w:rsidR="0091775D" w:rsidRPr="009B39EC">
              <w:rPr>
                <w:rFonts w:ascii="Arial" w:hAnsi="Arial" w:cs="Arial"/>
                <w:sz w:val="20"/>
                <w:szCs w:val="20"/>
                <w:lang w:val="en-GB"/>
              </w:rPr>
              <w:t xml:space="preserve"> and analysis, as well as documentation). To improve their intervention’ effectiveness and the overall functioning of the CRMs, in June 2021, </w:t>
            </w:r>
            <w:proofErr w:type="spellStart"/>
            <w:r w:rsidR="0091775D" w:rsidRPr="009B39EC">
              <w:rPr>
                <w:rFonts w:ascii="Arial" w:hAnsi="Arial" w:cs="Arial"/>
                <w:sz w:val="20"/>
                <w:szCs w:val="20"/>
                <w:lang w:val="en-GB"/>
              </w:rPr>
              <w:t>DC</w:t>
            </w:r>
            <w:r w:rsidR="00735F08" w:rsidRPr="009B39EC">
              <w:rPr>
                <w:rFonts w:ascii="Arial" w:hAnsi="Arial" w:cs="Arial"/>
                <w:sz w:val="20"/>
                <w:szCs w:val="20"/>
                <w:lang w:val="en-GB"/>
              </w:rPr>
              <w:t>o</w:t>
            </w:r>
            <w:r w:rsidR="0091775D" w:rsidRPr="009B39EC">
              <w:rPr>
                <w:rFonts w:ascii="Arial" w:hAnsi="Arial" w:cs="Arial"/>
                <w:sz w:val="20"/>
                <w:szCs w:val="20"/>
                <w:lang w:val="en-GB"/>
              </w:rPr>
              <w:t>M</w:t>
            </w:r>
            <w:proofErr w:type="spellEnd"/>
            <w:r w:rsidR="0091775D" w:rsidRPr="009B39EC">
              <w:rPr>
                <w:rFonts w:ascii="Arial" w:hAnsi="Arial" w:cs="Arial"/>
                <w:sz w:val="20"/>
                <w:szCs w:val="20"/>
                <w:lang w:val="en-GB"/>
              </w:rPr>
              <w:t xml:space="preserve"> 327 </w:t>
            </w:r>
            <w:r w:rsidR="003B3009" w:rsidRPr="009B39EC">
              <w:rPr>
                <w:rFonts w:ascii="Arial" w:hAnsi="Arial" w:cs="Arial"/>
                <w:sz w:val="20"/>
                <w:szCs w:val="20"/>
                <w:lang w:val="en-GB"/>
              </w:rPr>
              <w:t>dated 02.06.2021</w:t>
            </w:r>
            <w:r w:rsidR="0091775D" w:rsidRPr="009B39EC">
              <w:rPr>
                <w:rFonts w:ascii="Arial" w:hAnsi="Arial" w:cs="Arial"/>
                <w:sz w:val="20"/>
                <w:szCs w:val="20"/>
                <w:lang w:val="en-GB"/>
              </w:rPr>
              <w:t xml:space="preserve"> “On the mechanism of coordination of work between the responsible authorities, for the referral of cases of domestic violence, and its functioning, for supporting and rehabilitating victims of violence”</w:t>
            </w:r>
            <w:r w:rsidR="003B3009" w:rsidRPr="009B39EC">
              <w:rPr>
                <w:rFonts w:ascii="Arial" w:hAnsi="Arial" w:cs="Arial"/>
                <w:sz w:val="20"/>
                <w:szCs w:val="20"/>
                <w:lang w:val="en-GB"/>
              </w:rPr>
              <w:t>, was approved</w:t>
            </w:r>
            <w:r w:rsidR="0091775D" w:rsidRPr="009B39EC">
              <w:rPr>
                <w:rFonts w:ascii="Arial" w:hAnsi="Arial" w:cs="Arial"/>
                <w:sz w:val="20"/>
                <w:szCs w:val="20"/>
                <w:lang w:val="en-GB"/>
              </w:rPr>
              <w:t>.</w:t>
            </w:r>
            <w:r w:rsidR="0091775D" w:rsidRPr="009B39EC">
              <w:rPr>
                <w:rFonts w:ascii="Arial" w:hAnsi="Arial" w:cs="Arial"/>
                <w:sz w:val="20"/>
                <w:szCs w:val="20"/>
              </w:rPr>
              <w:t xml:space="preserve"> </w:t>
            </w:r>
            <w:r w:rsidR="0091775D" w:rsidRPr="009B39EC">
              <w:rPr>
                <w:rFonts w:ascii="Arial" w:hAnsi="Arial" w:cs="Arial"/>
                <w:sz w:val="20"/>
                <w:szCs w:val="20"/>
                <w:lang w:val="en-GB"/>
              </w:rPr>
              <w:t xml:space="preserve">This </w:t>
            </w:r>
            <w:proofErr w:type="spellStart"/>
            <w:r w:rsidR="0091775D" w:rsidRPr="009B39EC">
              <w:rPr>
                <w:rFonts w:ascii="Arial" w:hAnsi="Arial" w:cs="Arial"/>
                <w:sz w:val="20"/>
                <w:szCs w:val="20"/>
                <w:lang w:val="en-GB"/>
              </w:rPr>
              <w:t>DC</w:t>
            </w:r>
            <w:r w:rsidR="00735F08" w:rsidRPr="009B39EC">
              <w:rPr>
                <w:rFonts w:ascii="Arial" w:hAnsi="Arial" w:cs="Arial"/>
                <w:sz w:val="20"/>
                <w:szCs w:val="20"/>
                <w:lang w:val="en-GB"/>
              </w:rPr>
              <w:t>o</w:t>
            </w:r>
            <w:r w:rsidR="0091775D" w:rsidRPr="009B39EC">
              <w:rPr>
                <w:rFonts w:ascii="Arial" w:hAnsi="Arial" w:cs="Arial"/>
                <w:sz w:val="20"/>
                <w:szCs w:val="20"/>
                <w:lang w:val="en-GB"/>
              </w:rPr>
              <w:t>M</w:t>
            </w:r>
            <w:proofErr w:type="spellEnd"/>
            <w:r w:rsidR="0091775D" w:rsidRPr="009B39EC">
              <w:rPr>
                <w:rFonts w:ascii="Arial" w:hAnsi="Arial" w:cs="Arial"/>
                <w:sz w:val="20"/>
                <w:szCs w:val="20"/>
                <w:lang w:val="en-GB"/>
              </w:rPr>
              <w:t xml:space="preserve"> abrogates DCM 334/2011 "On the coordination mechanism for the referral of cases of violence in family relations and its way of functioning".</w:t>
            </w:r>
            <w:r w:rsidR="00663872" w:rsidRPr="009B39EC">
              <w:rPr>
                <w:rFonts w:ascii="Arial" w:hAnsi="Arial" w:cs="Arial"/>
                <w:sz w:val="20"/>
                <w:szCs w:val="20"/>
              </w:rPr>
              <w:t xml:space="preserve"> </w:t>
            </w:r>
            <w:r w:rsidR="00663872" w:rsidRPr="009B39EC">
              <w:rPr>
                <w:rFonts w:ascii="Arial" w:hAnsi="Arial" w:cs="Arial"/>
                <w:sz w:val="20"/>
                <w:szCs w:val="20"/>
                <w:lang w:val="en-GB"/>
              </w:rPr>
              <w:t xml:space="preserve">In addition to compliance with the legal framework and updated policies, this </w:t>
            </w:r>
            <w:proofErr w:type="spellStart"/>
            <w:r w:rsidR="00663872" w:rsidRPr="009B39EC">
              <w:rPr>
                <w:rFonts w:ascii="Arial" w:hAnsi="Arial" w:cs="Arial"/>
                <w:sz w:val="20"/>
                <w:szCs w:val="20"/>
                <w:lang w:val="en-GB"/>
              </w:rPr>
              <w:t>DC</w:t>
            </w:r>
            <w:r w:rsidR="00735F08" w:rsidRPr="009B39EC">
              <w:rPr>
                <w:rFonts w:ascii="Arial" w:hAnsi="Arial" w:cs="Arial"/>
                <w:sz w:val="20"/>
                <w:szCs w:val="20"/>
                <w:lang w:val="en-GB"/>
              </w:rPr>
              <w:t>o</w:t>
            </w:r>
            <w:r w:rsidR="00663872" w:rsidRPr="009B39EC">
              <w:rPr>
                <w:rFonts w:ascii="Arial" w:hAnsi="Arial" w:cs="Arial"/>
                <w:sz w:val="20"/>
                <w:szCs w:val="20"/>
                <w:lang w:val="en-GB"/>
              </w:rPr>
              <w:t>M</w:t>
            </w:r>
            <w:proofErr w:type="spellEnd"/>
            <w:r w:rsidR="00663872" w:rsidRPr="009B39EC">
              <w:rPr>
                <w:rFonts w:ascii="Arial" w:hAnsi="Arial" w:cs="Arial"/>
                <w:sz w:val="20"/>
                <w:szCs w:val="20"/>
                <w:lang w:val="en-GB"/>
              </w:rPr>
              <w:t xml:space="preserve">, among others, emphasizes the obligation to identify and report other cases of violence against women as specified in the Istanbul Convention, </w:t>
            </w:r>
            <w:r w:rsidR="003B3009" w:rsidRPr="009B39EC">
              <w:rPr>
                <w:rFonts w:ascii="Arial" w:hAnsi="Arial" w:cs="Arial"/>
                <w:sz w:val="20"/>
                <w:szCs w:val="20"/>
                <w:lang w:val="en-GB"/>
              </w:rPr>
              <w:t>to</w:t>
            </w:r>
            <w:r w:rsidR="00663872" w:rsidRPr="009B39EC">
              <w:rPr>
                <w:rFonts w:ascii="Arial" w:hAnsi="Arial" w:cs="Arial"/>
                <w:sz w:val="20"/>
                <w:szCs w:val="20"/>
                <w:lang w:val="en-GB"/>
              </w:rPr>
              <w:t xml:space="preserve"> address them through the CRM.</w:t>
            </w:r>
          </w:p>
          <w:p w14:paraId="392C60F9" w14:textId="15DA66EE" w:rsidR="00E93F84" w:rsidRPr="009B39EC" w:rsidRDefault="00E93F84" w:rsidP="00E93F84">
            <w:pPr>
              <w:jc w:val="both"/>
              <w:rPr>
                <w:rFonts w:ascii="Arial" w:hAnsi="Arial" w:cs="Arial"/>
                <w:sz w:val="20"/>
                <w:szCs w:val="20"/>
                <w:lang w:val="en-GB"/>
              </w:rPr>
            </w:pPr>
          </w:p>
        </w:tc>
      </w:tr>
      <w:tr w:rsidR="00DC5A7D" w:rsidRPr="009B39EC" w14:paraId="52A66919" w14:textId="77777777" w:rsidTr="00047815">
        <w:tc>
          <w:tcPr>
            <w:tcW w:w="216" w:type="pct"/>
            <w:vMerge w:val="restart"/>
          </w:tcPr>
          <w:p w14:paraId="346D57FC"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lastRenderedPageBreak/>
              <w:t>9.1</w:t>
            </w:r>
          </w:p>
        </w:tc>
        <w:tc>
          <w:tcPr>
            <w:tcW w:w="3497" w:type="pct"/>
          </w:tcPr>
          <w:p w14:paraId="1944BAF0" w14:textId="452E2470" w:rsidR="00E93F84" w:rsidRPr="009B39EC" w:rsidRDefault="006A2F96" w:rsidP="00E93F84">
            <w:pPr>
              <w:jc w:val="both"/>
              <w:rPr>
                <w:rFonts w:ascii="Arial" w:hAnsi="Arial" w:cs="Arial"/>
                <w:sz w:val="20"/>
                <w:szCs w:val="20"/>
                <w:lang w:val="en-GB"/>
              </w:rPr>
            </w:pPr>
            <w:proofErr w:type="gramStart"/>
            <w:r w:rsidRPr="009B39EC">
              <w:rPr>
                <w:rFonts w:ascii="Arial" w:hAnsi="Arial" w:cs="Arial"/>
                <w:sz w:val="20"/>
                <w:szCs w:val="20"/>
                <w:lang w:val="en-GB"/>
              </w:rPr>
              <w:t>In particular, please</w:t>
            </w:r>
            <w:proofErr w:type="gramEnd"/>
            <w:r w:rsidRPr="009B39EC">
              <w:rPr>
                <w:rFonts w:ascii="Arial" w:hAnsi="Arial" w:cs="Arial"/>
                <w:sz w:val="20"/>
                <w:szCs w:val="20"/>
                <w:lang w:val="en-GB"/>
              </w:rPr>
              <w:t xml:space="preserve"> indicate whether the co-ordinating body/bodies is/are responsible for</w:t>
            </w:r>
            <w:r w:rsidR="00E93F84" w:rsidRPr="009B39EC">
              <w:rPr>
                <w:rFonts w:ascii="Arial" w:hAnsi="Arial" w:cs="Arial"/>
                <w:sz w:val="20"/>
                <w:szCs w:val="20"/>
                <w:lang w:val="en-GB"/>
              </w:rPr>
              <w:t>:</w:t>
            </w:r>
          </w:p>
          <w:p w14:paraId="4ACD0C0D" w14:textId="77777777" w:rsidR="00DC5A7D" w:rsidRPr="009B39EC" w:rsidRDefault="00DC5A7D" w:rsidP="00DC5A7D">
            <w:pPr>
              <w:pStyle w:val="NoSpacing"/>
              <w:jc w:val="both"/>
              <w:rPr>
                <w:rFonts w:ascii="Arial" w:hAnsi="Arial" w:cs="Arial"/>
                <w:sz w:val="20"/>
                <w:szCs w:val="20"/>
                <w:lang w:val="en-GB"/>
              </w:rPr>
            </w:pPr>
          </w:p>
        </w:tc>
        <w:tc>
          <w:tcPr>
            <w:tcW w:w="800" w:type="pct"/>
          </w:tcPr>
          <w:p w14:paraId="3754341A" w14:textId="77777777" w:rsidR="00DC5A7D" w:rsidRPr="009B39EC" w:rsidRDefault="00DC5A7D" w:rsidP="00DC5A7D">
            <w:pPr>
              <w:jc w:val="both"/>
              <w:rPr>
                <w:rFonts w:ascii="Arial" w:hAnsi="Arial" w:cs="Arial"/>
                <w:sz w:val="20"/>
                <w:szCs w:val="20"/>
                <w:lang w:val="en-GB"/>
              </w:rPr>
            </w:pPr>
          </w:p>
        </w:tc>
        <w:tc>
          <w:tcPr>
            <w:tcW w:w="487" w:type="pct"/>
          </w:tcPr>
          <w:p w14:paraId="345F9A12" w14:textId="77777777" w:rsidR="00DC5A7D" w:rsidRPr="009B39EC" w:rsidRDefault="00DC5A7D" w:rsidP="00DC5A7D">
            <w:pPr>
              <w:jc w:val="both"/>
              <w:rPr>
                <w:rFonts w:ascii="Arial" w:hAnsi="Arial" w:cs="Arial"/>
                <w:sz w:val="20"/>
                <w:szCs w:val="20"/>
                <w:lang w:val="en-GB"/>
              </w:rPr>
            </w:pPr>
          </w:p>
        </w:tc>
      </w:tr>
      <w:tr w:rsidR="00DC5A7D" w:rsidRPr="009B39EC" w14:paraId="0B0C28D9" w14:textId="77777777" w:rsidTr="00047815">
        <w:tc>
          <w:tcPr>
            <w:tcW w:w="216" w:type="pct"/>
            <w:vMerge/>
          </w:tcPr>
          <w:p w14:paraId="551AC5A3" w14:textId="77777777" w:rsidR="00DC5A7D" w:rsidRPr="009B39EC" w:rsidRDefault="00DC5A7D" w:rsidP="00DC5A7D">
            <w:pPr>
              <w:jc w:val="both"/>
              <w:rPr>
                <w:rFonts w:ascii="Arial" w:hAnsi="Arial" w:cs="Arial"/>
                <w:sz w:val="20"/>
                <w:szCs w:val="20"/>
                <w:lang w:val="en-GB"/>
              </w:rPr>
            </w:pPr>
          </w:p>
        </w:tc>
        <w:tc>
          <w:tcPr>
            <w:tcW w:w="3497" w:type="pct"/>
          </w:tcPr>
          <w:p w14:paraId="3233B9B6" w14:textId="77777777" w:rsidR="006A2F96" w:rsidRPr="009B39EC" w:rsidRDefault="006A2F96" w:rsidP="006A2F96">
            <w:pPr>
              <w:pStyle w:val="NoSpacing"/>
              <w:numPr>
                <w:ilvl w:val="0"/>
                <w:numId w:val="4"/>
              </w:numPr>
              <w:jc w:val="both"/>
              <w:rPr>
                <w:rStyle w:val="normal10"/>
                <w:rFonts w:ascii="Arial" w:hAnsi="Arial" w:cs="Arial"/>
                <w:sz w:val="20"/>
                <w:szCs w:val="20"/>
                <w:lang w:val="en-GB"/>
              </w:rPr>
            </w:pPr>
            <w:r w:rsidRPr="009B39EC">
              <w:rPr>
                <w:rFonts w:ascii="Arial" w:hAnsi="Arial" w:cs="Arial"/>
                <w:sz w:val="20"/>
                <w:szCs w:val="20"/>
                <w:lang w:val="en-GB"/>
              </w:rPr>
              <w:t xml:space="preserve">Co-ordination </w:t>
            </w:r>
            <w:r w:rsidRPr="009B39EC">
              <w:rPr>
                <w:rStyle w:val="normal10"/>
                <w:rFonts w:ascii="Arial" w:hAnsi="Arial" w:cs="Arial"/>
                <w:sz w:val="20"/>
                <w:szCs w:val="20"/>
                <w:lang w:val="en-GB"/>
              </w:rPr>
              <w:t>of policies and measures to prevent and combat violence against women</w:t>
            </w:r>
          </w:p>
          <w:p w14:paraId="137381E9" w14:textId="1A43B2EC" w:rsidR="00DC5A7D" w:rsidRPr="009B39EC" w:rsidRDefault="00E93F84" w:rsidP="00E93F84">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 xml:space="preserve"> </w:t>
            </w:r>
          </w:p>
        </w:tc>
        <w:tc>
          <w:tcPr>
            <w:tcW w:w="800" w:type="pct"/>
          </w:tcPr>
          <w:p w14:paraId="514B9618" w14:textId="2781FBE3"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234282549"/>
                <w14:checkbox>
                  <w14:checked w14:val="1"/>
                  <w14:checkedState w14:val="2612" w14:font="MS Gothic"/>
                  <w14:uncheckedState w14:val="2610" w14:font="MS Gothic"/>
                </w14:checkbox>
              </w:sdtPr>
              <w:sdtEndPr/>
              <w:sdtContent>
                <w:r w:rsidR="00E93F84" w:rsidRPr="009B39EC">
                  <w:rPr>
                    <w:rFonts w:ascii="Segoe UI Symbol" w:eastAsia="MS Gothic" w:hAnsi="Segoe UI Symbol" w:cs="Segoe UI Symbol"/>
                    <w:sz w:val="20"/>
                    <w:szCs w:val="20"/>
                    <w:lang w:val="en-GB"/>
                  </w:rPr>
                  <w:t>☒</w:t>
                </w:r>
              </w:sdtContent>
            </w:sdt>
          </w:p>
          <w:p w14:paraId="6E2403DA" w14:textId="559C2520" w:rsidR="00DC5A7D" w:rsidRPr="009B39EC" w:rsidRDefault="008A479E" w:rsidP="00DC5A7D">
            <w:pPr>
              <w:jc w:val="both"/>
              <w:rPr>
                <w:rFonts w:ascii="Arial" w:hAnsi="Arial" w:cs="Arial"/>
                <w:sz w:val="20"/>
                <w:szCs w:val="20"/>
                <w:lang w:val="en-GB"/>
              </w:rPr>
            </w:pPr>
            <w:r w:rsidRPr="009B39EC">
              <w:rPr>
                <w:rFonts w:ascii="Arial" w:hAnsi="Arial" w:cs="Arial"/>
                <w:sz w:val="20"/>
                <w:szCs w:val="20"/>
                <w:lang w:val="en-GB"/>
              </w:rPr>
              <w:t>The co-ordination body responsible is</w:t>
            </w:r>
            <w:r w:rsidR="00E93F84" w:rsidRPr="009B39EC">
              <w:rPr>
                <w:rFonts w:ascii="Arial" w:hAnsi="Arial" w:cs="Arial"/>
                <w:sz w:val="20"/>
                <w:szCs w:val="20"/>
                <w:lang w:val="en-GB"/>
              </w:rPr>
              <w:t>:</w:t>
            </w:r>
            <w:r w:rsidR="006A2F96" w:rsidRPr="009B39EC">
              <w:rPr>
                <w:rFonts w:ascii="Arial" w:hAnsi="Arial" w:cs="Arial"/>
                <w:sz w:val="20"/>
                <w:szCs w:val="20"/>
                <w:lang w:val="en-GB"/>
              </w:rPr>
              <w:t xml:space="preserve"> </w:t>
            </w:r>
            <w:r w:rsidR="006A2F96" w:rsidRPr="009B39EC">
              <w:rPr>
                <w:rFonts w:ascii="Arial" w:hAnsi="Arial" w:cs="Arial"/>
                <w:b/>
                <w:bCs/>
                <w:sz w:val="20"/>
                <w:szCs w:val="20"/>
                <w:lang w:val="en-GB"/>
              </w:rPr>
              <w:t>MHSP</w:t>
            </w:r>
            <w:r w:rsidR="00E93F84" w:rsidRPr="009B39EC">
              <w:rPr>
                <w:rFonts w:ascii="Arial" w:hAnsi="Arial" w:cs="Arial"/>
                <w:b/>
                <w:bCs/>
                <w:sz w:val="20"/>
                <w:szCs w:val="20"/>
                <w:lang w:val="en-GB"/>
              </w:rPr>
              <w:t xml:space="preserve"> </w:t>
            </w:r>
          </w:p>
        </w:tc>
        <w:tc>
          <w:tcPr>
            <w:tcW w:w="487" w:type="pct"/>
          </w:tcPr>
          <w:p w14:paraId="76B4A433" w14:textId="193427BD"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93429705"/>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3D891FA0" w14:textId="77777777" w:rsidTr="00047815">
        <w:tc>
          <w:tcPr>
            <w:tcW w:w="216" w:type="pct"/>
            <w:vMerge/>
          </w:tcPr>
          <w:p w14:paraId="6C87CB18" w14:textId="77777777" w:rsidR="00DC5A7D" w:rsidRPr="009B39EC" w:rsidRDefault="00DC5A7D" w:rsidP="00DC5A7D">
            <w:pPr>
              <w:jc w:val="both"/>
              <w:rPr>
                <w:rFonts w:ascii="Arial" w:hAnsi="Arial" w:cs="Arial"/>
                <w:sz w:val="20"/>
                <w:szCs w:val="20"/>
                <w:lang w:val="en-GB"/>
              </w:rPr>
            </w:pPr>
          </w:p>
        </w:tc>
        <w:tc>
          <w:tcPr>
            <w:tcW w:w="3497" w:type="pct"/>
          </w:tcPr>
          <w:p w14:paraId="7B435B0F" w14:textId="4EFDCF99" w:rsidR="00E93F84" w:rsidRPr="009B39EC" w:rsidRDefault="006A2F96" w:rsidP="00E93F84">
            <w:pPr>
              <w:pStyle w:val="ListParagraph"/>
              <w:numPr>
                <w:ilvl w:val="0"/>
                <w:numId w:val="4"/>
              </w:numPr>
              <w:rPr>
                <w:rFonts w:ascii="Arial" w:hAnsi="Arial" w:cs="Arial"/>
                <w:sz w:val="20"/>
                <w:szCs w:val="20"/>
                <w:lang w:val="en-GB"/>
              </w:rPr>
            </w:pPr>
            <w:r w:rsidRPr="009B39EC">
              <w:rPr>
                <w:rFonts w:ascii="Arial" w:hAnsi="Arial" w:cs="Arial"/>
                <w:sz w:val="20"/>
                <w:szCs w:val="20"/>
                <w:lang w:val="en-GB"/>
              </w:rPr>
              <w:t xml:space="preserve">Implementation </w:t>
            </w:r>
            <w:r w:rsidRPr="009B39EC">
              <w:rPr>
                <w:rStyle w:val="normal10"/>
                <w:rFonts w:ascii="Arial" w:hAnsi="Arial" w:cs="Arial"/>
                <w:sz w:val="20"/>
                <w:szCs w:val="20"/>
                <w:lang w:val="en-GB"/>
              </w:rPr>
              <w:t>of policies and measures to prevent and combat violence against women</w:t>
            </w:r>
          </w:p>
          <w:p w14:paraId="52F16E4E" w14:textId="77777777" w:rsidR="00DC5A7D" w:rsidRPr="009B39EC" w:rsidRDefault="00DC5A7D" w:rsidP="00DC5A7D">
            <w:pPr>
              <w:pStyle w:val="NoSpacing"/>
              <w:jc w:val="both"/>
              <w:rPr>
                <w:rFonts w:ascii="Arial" w:hAnsi="Arial" w:cs="Arial"/>
                <w:sz w:val="20"/>
                <w:szCs w:val="20"/>
                <w:lang w:val="en-GB"/>
              </w:rPr>
            </w:pPr>
          </w:p>
        </w:tc>
        <w:tc>
          <w:tcPr>
            <w:tcW w:w="800" w:type="pct"/>
          </w:tcPr>
          <w:p w14:paraId="13219216" w14:textId="307BBA7E"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374386552"/>
                <w14:checkbox>
                  <w14:checked w14:val="1"/>
                  <w14:checkedState w14:val="2612" w14:font="MS Gothic"/>
                  <w14:uncheckedState w14:val="2610" w14:font="MS Gothic"/>
                </w14:checkbox>
              </w:sdtPr>
              <w:sdtEndPr/>
              <w:sdtContent>
                <w:r w:rsidR="00E93F84" w:rsidRPr="009B39EC">
                  <w:rPr>
                    <w:rFonts w:ascii="Segoe UI Symbol" w:eastAsia="MS Gothic" w:hAnsi="Segoe UI Symbol" w:cs="Segoe UI Symbol"/>
                    <w:sz w:val="20"/>
                    <w:szCs w:val="20"/>
                    <w:lang w:val="en-GB"/>
                  </w:rPr>
                  <w:t>☒</w:t>
                </w:r>
              </w:sdtContent>
            </w:sdt>
          </w:p>
          <w:p w14:paraId="0D134514" w14:textId="34CF314A" w:rsidR="00DC5A7D" w:rsidRPr="009B39EC" w:rsidRDefault="008A479E" w:rsidP="00DC5A7D">
            <w:pPr>
              <w:jc w:val="both"/>
              <w:rPr>
                <w:rFonts w:ascii="Arial" w:hAnsi="Arial" w:cs="Arial"/>
                <w:b/>
                <w:bCs/>
                <w:sz w:val="20"/>
                <w:szCs w:val="20"/>
                <w:lang w:val="en-GB"/>
              </w:rPr>
            </w:pPr>
            <w:r w:rsidRPr="009B39EC">
              <w:rPr>
                <w:rFonts w:ascii="Arial" w:hAnsi="Arial" w:cs="Arial"/>
                <w:sz w:val="20"/>
                <w:szCs w:val="20"/>
                <w:lang w:val="en-GB"/>
              </w:rPr>
              <w:t>The co-ordination body responsible is</w:t>
            </w:r>
            <w:r w:rsidR="00E93F84" w:rsidRPr="009B39EC">
              <w:rPr>
                <w:rFonts w:ascii="Arial" w:hAnsi="Arial" w:cs="Arial"/>
                <w:sz w:val="20"/>
                <w:szCs w:val="20"/>
                <w:lang w:val="en-GB"/>
              </w:rPr>
              <w:t>:</w:t>
            </w:r>
            <w:r w:rsidR="00E93F84" w:rsidRPr="009B39EC">
              <w:rPr>
                <w:rFonts w:ascii="Arial" w:hAnsi="Arial" w:cs="Arial"/>
                <w:b/>
                <w:bCs/>
                <w:sz w:val="20"/>
                <w:szCs w:val="20"/>
                <w:lang w:val="en-GB"/>
              </w:rPr>
              <w:t xml:space="preserve"> </w:t>
            </w:r>
            <w:r w:rsidR="006A2F96" w:rsidRPr="009B39EC">
              <w:rPr>
                <w:rFonts w:ascii="Arial" w:hAnsi="Arial" w:cs="Arial"/>
                <w:b/>
                <w:bCs/>
                <w:sz w:val="20"/>
                <w:szCs w:val="20"/>
                <w:lang w:val="en-GB"/>
              </w:rPr>
              <w:t>MHSP</w:t>
            </w:r>
            <w:r w:rsidR="00E93F84" w:rsidRPr="009B39EC">
              <w:rPr>
                <w:rFonts w:ascii="Arial" w:hAnsi="Arial" w:cs="Arial"/>
                <w:b/>
                <w:bCs/>
                <w:sz w:val="20"/>
                <w:szCs w:val="20"/>
                <w:lang w:val="en-GB"/>
              </w:rPr>
              <w:t xml:space="preserve"> </w:t>
            </w:r>
            <w:r w:rsidR="00EB58BF" w:rsidRPr="009B39EC">
              <w:rPr>
                <w:rFonts w:ascii="Arial" w:hAnsi="Arial" w:cs="Arial"/>
                <w:b/>
                <w:bCs/>
                <w:sz w:val="20"/>
                <w:szCs w:val="20"/>
                <w:lang w:val="en-GB"/>
              </w:rPr>
              <w:t>at the central level and CRMs at the local level</w:t>
            </w:r>
          </w:p>
        </w:tc>
        <w:tc>
          <w:tcPr>
            <w:tcW w:w="487" w:type="pct"/>
          </w:tcPr>
          <w:p w14:paraId="374DC4F1" w14:textId="761620CD"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748814392"/>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0CFCE9F3" w14:textId="77777777" w:rsidTr="00047815">
        <w:tc>
          <w:tcPr>
            <w:tcW w:w="216" w:type="pct"/>
            <w:vMerge/>
          </w:tcPr>
          <w:p w14:paraId="508F214E" w14:textId="77777777" w:rsidR="00DC5A7D" w:rsidRPr="009B39EC" w:rsidRDefault="00DC5A7D" w:rsidP="00DC5A7D">
            <w:pPr>
              <w:jc w:val="both"/>
              <w:rPr>
                <w:rFonts w:ascii="Arial" w:hAnsi="Arial" w:cs="Arial"/>
                <w:sz w:val="20"/>
                <w:szCs w:val="20"/>
                <w:lang w:val="en-GB"/>
              </w:rPr>
            </w:pPr>
          </w:p>
        </w:tc>
        <w:tc>
          <w:tcPr>
            <w:tcW w:w="3497" w:type="pct"/>
          </w:tcPr>
          <w:p w14:paraId="3C1C2FB8" w14:textId="52C0701D" w:rsidR="001E220E" w:rsidRPr="009B39EC" w:rsidRDefault="006A2F96" w:rsidP="001E220E">
            <w:pPr>
              <w:numPr>
                <w:ilvl w:val="0"/>
                <w:numId w:val="4"/>
              </w:numPr>
              <w:contextualSpacing/>
              <w:jc w:val="both"/>
              <w:rPr>
                <w:rStyle w:val="Heading3Char"/>
                <w:rFonts w:ascii="Arial" w:eastAsiaTheme="minorHAnsi" w:hAnsi="Arial" w:cs="Arial"/>
                <w:sz w:val="20"/>
                <w:szCs w:val="20"/>
              </w:rPr>
            </w:pPr>
            <w:r w:rsidRPr="009B39EC">
              <w:rPr>
                <w:rFonts w:ascii="Arial" w:hAnsi="Arial" w:cs="Arial"/>
                <w:sz w:val="20"/>
                <w:szCs w:val="20"/>
                <w:lang w:val="en-GB"/>
              </w:rPr>
              <w:t>Monitoring and evaluation of policies and measures to prevent and combat violence against women</w:t>
            </w:r>
          </w:p>
          <w:p w14:paraId="216004B9" w14:textId="77777777" w:rsidR="00DC5A7D" w:rsidRPr="009B39EC" w:rsidRDefault="00DC5A7D" w:rsidP="00DC5A7D">
            <w:pPr>
              <w:pStyle w:val="NoSpacing"/>
              <w:jc w:val="both"/>
              <w:rPr>
                <w:rFonts w:ascii="Arial" w:hAnsi="Arial" w:cs="Arial"/>
                <w:sz w:val="20"/>
                <w:szCs w:val="20"/>
                <w:lang w:val="en-GB"/>
              </w:rPr>
            </w:pPr>
          </w:p>
        </w:tc>
        <w:tc>
          <w:tcPr>
            <w:tcW w:w="800" w:type="pct"/>
          </w:tcPr>
          <w:p w14:paraId="7BA1E267" w14:textId="585AAEEF"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309591717"/>
                <w14:checkbox>
                  <w14:checked w14:val="1"/>
                  <w14:checkedState w14:val="2612" w14:font="MS Gothic"/>
                  <w14:uncheckedState w14:val="2610" w14:font="MS Gothic"/>
                </w14:checkbox>
              </w:sdtPr>
              <w:sdtEndPr/>
              <w:sdtContent>
                <w:r w:rsidR="001E220E" w:rsidRPr="009B39EC">
                  <w:rPr>
                    <w:rFonts w:ascii="Segoe UI Symbol" w:eastAsia="MS Gothic" w:hAnsi="Segoe UI Symbol" w:cs="Segoe UI Symbol"/>
                    <w:sz w:val="20"/>
                    <w:szCs w:val="20"/>
                    <w:lang w:val="en-GB"/>
                  </w:rPr>
                  <w:t>☒</w:t>
                </w:r>
              </w:sdtContent>
            </w:sdt>
          </w:p>
          <w:p w14:paraId="3D88454C" w14:textId="2BE3DE96" w:rsidR="00491D1F" w:rsidRPr="009B39EC" w:rsidRDefault="008A479E" w:rsidP="00491D1F">
            <w:pPr>
              <w:rPr>
                <w:rFonts w:ascii="Arial" w:hAnsi="Arial" w:cs="Arial"/>
                <w:b/>
                <w:bCs/>
                <w:sz w:val="20"/>
                <w:szCs w:val="20"/>
                <w:lang w:val="en-GB"/>
              </w:rPr>
            </w:pPr>
            <w:r w:rsidRPr="009B39EC">
              <w:rPr>
                <w:rFonts w:ascii="Arial" w:hAnsi="Arial" w:cs="Arial"/>
                <w:sz w:val="20"/>
                <w:szCs w:val="20"/>
                <w:lang w:val="en-GB"/>
              </w:rPr>
              <w:t>The co-ordination body responsible is</w:t>
            </w:r>
            <w:r w:rsidR="001E220E" w:rsidRPr="009B39EC">
              <w:rPr>
                <w:rFonts w:ascii="Arial" w:hAnsi="Arial" w:cs="Arial"/>
                <w:sz w:val="20"/>
                <w:szCs w:val="20"/>
                <w:lang w:val="en-GB"/>
              </w:rPr>
              <w:t xml:space="preserve">: </w:t>
            </w:r>
            <w:r w:rsidR="006A2F96" w:rsidRPr="009B39EC">
              <w:rPr>
                <w:rFonts w:ascii="Arial" w:hAnsi="Arial" w:cs="Arial"/>
                <w:b/>
                <w:bCs/>
                <w:sz w:val="20"/>
                <w:szCs w:val="20"/>
                <w:lang w:val="en-GB"/>
              </w:rPr>
              <w:t>MHSP</w:t>
            </w:r>
            <w:r w:rsidR="001E220E" w:rsidRPr="009B39EC">
              <w:rPr>
                <w:rFonts w:ascii="Arial" w:hAnsi="Arial" w:cs="Arial"/>
                <w:b/>
                <w:bCs/>
                <w:sz w:val="20"/>
                <w:szCs w:val="20"/>
                <w:lang w:val="en-GB"/>
              </w:rPr>
              <w:t xml:space="preserve"> </w:t>
            </w:r>
          </w:p>
          <w:p w14:paraId="1CAC45FB" w14:textId="34DCC239" w:rsidR="00DD26A2" w:rsidRPr="009B39EC" w:rsidRDefault="008A479E" w:rsidP="00491D1F">
            <w:pPr>
              <w:rPr>
                <w:rFonts w:ascii="Arial" w:hAnsi="Arial" w:cs="Arial"/>
                <w:b/>
                <w:bCs/>
                <w:sz w:val="20"/>
                <w:szCs w:val="20"/>
                <w:lang w:val="en-GB"/>
              </w:rPr>
            </w:pPr>
            <w:r w:rsidRPr="009B39EC">
              <w:rPr>
                <w:rFonts w:ascii="Arial" w:hAnsi="Arial" w:cs="Arial"/>
                <w:b/>
                <w:bCs/>
                <w:sz w:val="20"/>
                <w:szCs w:val="20"/>
                <w:lang w:val="en-GB"/>
              </w:rPr>
              <w:t>NCGE</w:t>
            </w:r>
            <w:r w:rsidR="00DD26A2" w:rsidRPr="009B39EC">
              <w:rPr>
                <w:rFonts w:ascii="Arial" w:hAnsi="Arial" w:cs="Arial"/>
                <w:b/>
                <w:bCs/>
                <w:sz w:val="20"/>
                <w:szCs w:val="20"/>
                <w:lang w:val="en-GB"/>
              </w:rPr>
              <w:t>,</w:t>
            </w:r>
          </w:p>
          <w:p w14:paraId="60B3ACD6" w14:textId="1413DFAC" w:rsidR="00EB58BF" w:rsidRPr="009B39EC" w:rsidRDefault="008A479E" w:rsidP="00DD26A2">
            <w:pPr>
              <w:rPr>
                <w:rFonts w:ascii="Arial" w:hAnsi="Arial" w:cs="Arial"/>
                <w:sz w:val="20"/>
                <w:szCs w:val="20"/>
                <w:lang w:val="en-GB"/>
              </w:rPr>
            </w:pPr>
            <w:r w:rsidRPr="009B39EC">
              <w:rPr>
                <w:rFonts w:ascii="Arial" w:hAnsi="Arial" w:cs="Arial"/>
                <w:b/>
                <w:bCs/>
                <w:sz w:val="20"/>
                <w:szCs w:val="20"/>
                <w:lang w:val="en-GB"/>
              </w:rPr>
              <w:t xml:space="preserve">the Parliamentary Sub-Committee “On </w:t>
            </w:r>
            <w:r w:rsidRPr="009B39EC">
              <w:rPr>
                <w:rFonts w:ascii="Arial" w:hAnsi="Arial" w:cs="Arial"/>
                <w:b/>
                <w:bCs/>
                <w:sz w:val="20"/>
                <w:szCs w:val="20"/>
                <w:lang w:val="en-GB"/>
              </w:rPr>
              <w:lastRenderedPageBreak/>
              <w:t xml:space="preserve">Gender Equality </w:t>
            </w:r>
            <w:r w:rsidR="00DD26A2" w:rsidRPr="009B39EC">
              <w:rPr>
                <w:rFonts w:ascii="Arial" w:hAnsi="Arial" w:cs="Arial"/>
                <w:b/>
                <w:bCs/>
                <w:sz w:val="20"/>
                <w:szCs w:val="20"/>
                <w:lang w:val="en-GB"/>
              </w:rPr>
              <w:t>and Preventing Violence against Women</w:t>
            </w:r>
            <w:r w:rsidRPr="009B39EC">
              <w:rPr>
                <w:rFonts w:ascii="Arial" w:hAnsi="Arial" w:cs="Arial"/>
                <w:b/>
                <w:bCs/>
                <w:sz w:val="20"/>
                <w:szCs w:val="20"/>
                <w:lang w:val="en-GB"/>
              </w:rPr>
              <w:t>”</w:t>
            </w:r>
            <w:r w:rsidR="001E220E" w:rsidRPr="009B39EC">
              <w:rPr>
                <w:rFonts w:ascii="Arial" w:hAnsi="Arial" w:cs="Arial"/>
                <w:b/>
                <w:bCs/>
                <w:sz w:val="20"/>
                <w:szCs w:val="20"/>
                <w:lang w:val="en-GB"/>
              </w:rPr>
              <w:t xml:space="preserve"> </w:t>
            </w:r>
            <w:r w:rsidR="00EB58BF" w:rsidRPr="009B39EC">
              <w:rPr>
                <w:rFonts w:ascii="Arial" w:hAnsi="Arial" w:cs="Arial"/>
                <w:b/>
                <w:bCs/>
                <w:sz w:val="20"/>
                <w:szCs w:val="20"/>
                <w:lang w:val="en-GB"/>
              </w:rPr>
              <w:t xml:space="preserve">and the Ombudsperson </w:t>
            </w:r>
          </w:p>
        </w:tc>
        <w:tc>
          <w:tcPr>
            <w:tcW w:w="487" w:type="pct"/>
          </w:tcPr>
          <w:p w14:paraId="67FA6B8D" w14:textId="65C4D1A2"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lastRenderedPageBreak/>
              <w:t xml:space="preserve">No </w:t>
            </w:r>
            <w:sdt>
              <w:sdtPr>
                <w:rPr>
                  <w:rFonts w:ascii="Arial" w:hAnsi="Arial" w:cs="Arial"/>
                  <w:sz w:val="20"/>
                  <w:szCs w:val="20"/>
                  <w:lang w:val="en-GB"/>
                </w:rPr>
                <w:id w:val="2125185228"/>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5D8BB5A0" w14:textId="77777777" w:rsidTr="00047815">
        <w:tc>
          <w:tcPr>
            <w:tcW w:w="216" w:type="pct"/>
            <w:vMerge/>
          </w:tcPr>
          <w:p w14:paraId="5DA7CE11" w14:textId="77777777" w:rsidR="00DC5A7D" w:rsidRPr="009B39EC" w:rsidRDefault="00DC5A7D" w:rsidP="00DC5A7D">
            <w:pPr>
              <w:jc w:val="both"/>
              <w:rPr>
                <w:rFonts w:ascii="Arial" w:hAnsi="Arial" w:cs="Arial"/>
                <w:sz w:val="20"/>
                <w:szCs w:val="20"/>
                <w:lang w:val="en-GB"/>
              </w:rPr>
            </w:pPr>
          </w:p>
        </w:tc>
        <w:tc>
          <w:tcPr>
            <w:tcW w:w="3497" w:type="pct"/>
          </w:tcPr>
          <w:p w14:paraId="28159D7A" w14:textId="1F2D0B5E" w:rsidR="001E220E" w:rsidRPr="009B39EC" w:rsidRDefault="008A479E" w:rsidP="001E220E">
            <w:pPr>
              <w:numPr>
                <w:ilvl w:val="0"/>
                <w:numId w:val="4"/>
              </w:numPr>
              <w:contextualSpacing/>
              <w:jc w:val="both"/>
              <w:rPr>
                <w:rFonts w:ascii="Arial" w:hAnsi="Arial" w:cs="Arial"/>
                <w:sz w:val="20"/>
                <w:szCs w:val="20"/>
                <w:lang w:val="en-GB"/>
              </w:rPr>
            </w:pPr>
            <w:r w:rsidRPr="009B39EC">
              <w:rPr>
                <w:rFonts w:ascii="Arial" w:hAnsi="Arial" w:cs="Arial"/>
                <w:sz w:val="20"/>
                <w:szCs w:val="20"/>
                <w:lang w:val="en-GB"/>
              </w:rPr>
              <w:t xml:space="preserve">Co-ordination of the collection of data, </w:t>
            </w:r>
            <w:proofErr w:type="gramStart"/>
            <w:r w:rsidRPr="009B39EC">
              <w:rPr>
                <w:rFonts w:ascii="Arial" w:hAnsi="Arial" w:cs="Arial"/>
                <w:sz w:val="20"/>
                <w:szCs w:val="20"/>
                <w:lang w:val="en-GB"/>
              </w:rPr>
              <w:t>analysis</w:t>
            </w:r>
            <w:proofErr w:type="gramEnd"/>
            <w:r w:rsidRPr="009B39EC">
              <w:rPr>
                <w:rFonts w:ascii="Arial" w:hAnsi="Arial" w:cs="Arial"/>
                <w:sz w:val="20"/>
                <w:szCs w:val="20"/>
                <w:lang w:val="en-GB"/>
              </w:rPr>
              <w:t xml:space="preserve"> and dissemination of its results</w:t>
            </w:r>
            <w:r w:rsidR="001E220E" w:rsidRPr="009B39EC">
              <w:rPr>
                <w:rFonts w:ascii="Arial" w:hAnsi="Arial" w:cs="Arial"/>
                <w:sz w:val="20"/>
                <w:szCs w:val="20"/>
                <w:lang w:val="en-GB"/>
              </w:rPr>
              <w:t xml:space="preserve"> </w:t>
            </w:r>
          </w:p>
          <w:p w14:paraId="57DC68E6" w14:textId="77777777" w:rsidR="00DC5A7D" w:rsidRPr="009B39EC" w:rsidRDefault="00DC5A7D" w:rsidP="00DC5A7D">
            <w:pPr>
              <w:pStyle w:val="NoSpacing"/>
              <w:jc w:val="both"/>
              <w:rPr>
                <w:rFonts w:ascii="Arial" w:hAnsi="Arial" w:cs="Arial"/>
                <w:sz w:val="20"/>
                <w:szCs w:val="20"/>
                <w:lang w:val="en-GB"/>
              </w:rPr>
            </w:pPr>
          </w:p>
        </w:tc>
        <w:tc>
          <w:tcPr>
            <w:tcW w:w="800" w:type="pct"/>
          </w:tcPr>
          <w:p w14:paraId="3DB11FFD" w14:textId="5A3F99D7"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1284807633"/>
                <w14:checkbox>
                  <w14:checked w14:val="1"/>
                  <w14:checkedState w14:val="2612" w14:font="MS Gothic"/>
                  <w14:uncheckedState w14:val="2610" w14:font="MS Gothic"/>
                </w14:checkbox>
              </w:sdtPr>
              <w:sdtEndPr/>
              <w:sdtContent>
                <w:r w:rsidR="001E220E" w:rsidRPr="009B39EC">
                  <w:rPr>
                    <w:rFonts w:ascii="Segoe UI Symbol" w:eastAsia="MS Gothic" w:hAnsi="Segoe UI Symbol" w:cs="Segoe UI Symbol"/>
                    <w:sz w:val="20"/>
                    <w:szCs w:val="20"/>
                    <w:lang w:val="en-GB"/>
                  </w:rPr>
                  <w:t>☒</w:t>
                </w:r>
              </w:sdtContent>
            </w:sdt>
          </w:p>
          <w:p w14:paraId="426ABD23" w14:textId="5A6A50EE" w:rsidR="00185955" w:rsidRPr="009B39EC" w:rsidRDefault="008A479E" w:rsidP="00185955">
            <w:pPr>
              <w:jc w:val="both"/>
              <w:rPr>
                <w:rFonts w:ascii="Arial" w:hAnsi="Arial" w:cs="Arial"/>
                <w:sz w:val="20"/>
                <w:szCs w:val="20"/>
                <w:lang w:val="en-GB"/>
              </w:rPr>
            </w:pPr>
            <w:r w:rsidRPr="009B39EC">
              <w:rPr>
                <w:rFonts w:ascii="Arial" w:hAnsi="Arial" w:cs="Arial"/>
                <w:sz w:val="20"/>
                <w:szCs w:val="20"/>
                <w:lang w:val="en-GB"/>
              </w:rPr>
              <w:t>The co-ordination body responsible is</w:t>
            </w:r>
            <w:r w:rsidR="00185955" w:rsidRPr="009B39EC">
              <w:rPr>
                <w:rFonts w:ascii="Arial" w:hAnsi="Arial" w:cs="Arial"/>
                <w:sz w:val="20"/>
                <w:szCs w:val="20"/>
                <w:lang w:val="en-GB"/>
              </w:rPr>
              <w:t>:</w:t>
            </w:r>
          </w:p>
          <w:p w14:paraId="5930748D" w14:textId="21E4ACAC" w:rsidR="00DC5A7D" w:rsidRPr="009B39EC" w:rsidRDefault="006A2F96" w:rsidP="00185955">
            <w:pPr>
              <w:jc w:val="both"/>
              <w:rPr>
                <w:rFonts w:ascii="Arial" w:hAnsi="Arial" w:cs="Arial"/>
                <w:sz w:val="20"/>
                <w:szCs w:val="20"/>
                <w:lang w:val="en-GB"/>
              </w:rPr>
            </w:pPr>
            <w:r w:rsidRPr="009B39EC">
              <w:rPr>
                <w:rFonts w:ascii="Arial" w:hAnsi="Arial" w:cs="Arial"/>
                <w:b/>
                <w:bCs/>
                <w:sz w:val="20"/>
                <w:szCs w:val="20"/>
                <w:lang w:val="en-GB"/>
              </w:rPr>
              <w:t>MHSP</w:t>
            </w:r>
            <w:r w:rsidR="00185955" w:rsidRPr="009B39EC">
              <w:rPr>
                <w:rFonts w:ascii="Arial" w:hAnsi="Arial" w:cs="Arial"/>
                <w:b/>
                <w:bCs/>
                <w:sz w:val="20"/>
                <w:szCs w:val="20"/>
                <w:lang w:val="en-GB"/>
              </w:rPr>
              <w:t xml:space="preserve"> </w:t>
            </w:r>
          </w:p>
        </w:tc>
        <w:tc>
          <w:tcPr>
            <w:tcW w:w="487" w:type="pct"/>
          </w:tcPr>
          <w:p w14:paraId="32F4346B" w14:textId="210D9BE5"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224442229"/>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16E4F328" w14:textId="77777777" w:rsidTr="004860C4">
        <w:tc>
          <w:tcPr>
            <w:tcW w:w="216" w:type="pct"/>
          </w:tcPr>
          <w:p w14:paraId="53C3A346"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10</w:t>
            </w:r>
          </w:p>
        </w:tc>
        <w:tc>
          <w:tcPr>
            <w:tcW w:w="4784" w:type="pct"/>
            <w:gridSpan w:val="3"/>
          </w:tcPr>
          <w:p w14:paraId="1B78B906" w14:textId="1EFC7D13" w:rsidR="00DC5A7D" w:rsidRPr="009B39EC" w:rsidRDefault="008A479E" w:rsidP="00DC5A7D">
            <w:pPr>
              <w:jc w:val="both"/>
              <w:rPr>
                <w:rFonts w:ascii="Arial" w:hAnsi="Arial" w:cs="Arial"/>
                <w:sz w:val="20"/>
                <w:szCs w:val="20"/>
                <w:lang w:val="en-GB"/>
              </w:rPr>
            </w:pPr>
            <w:r w:rsidRPr="009B39EC">
              <w:rPr>
                <w:rFonts w:ascii="Arial" w:hAnsi="Arial" w:cs="Arial"/>
                <w:sz w:val="20"/>
                <w:szCs w:val="20"/>
                <w:lang w:val="en-GB"/>
              </w:rPr>
              <w:t>Please specify the human and financial resources allocated to the co-ordinating body/bodies</w:t>
            </w:r>
            <w:r w:rsidR="00185955" w:rsidRPr="009B39EC">
              <w:rPr>
                <w:rFonts w:ascii="Arial" w:hAnsi="Arial" w:cs="Arial"/>
                <w:sz w:val="20"/>
                <w:szCs w:val="20"/>
                <w:lang w:val="en-GB"/>
              </w:rPr>
              <w:t>:</w:t>
            </w:r>
          </w:p>
          <w:p w14:paraId="30FF089B" w14:textId="77777777" w:rsidR="00185955" w:rsidRPr="009B39EC" w:rsidRDefault="00185955" w:rsidP="00DC5A7D">
            <w:pPr>
              <w:jc w:val="both"/>
              <w:rPr>
                <w:rFonts w:ascii="Arial" w:hAnsi="Arial" w:cs="Arial"/>
                <w:sz w:val="20"/>
                <w:szCs w:val="20"/>
                <w:lang w:val="en-GB"/>
              </w:rPr>
            </w:pPr>
          </w:p>
          <w:p w14:paraId="22D8BADF" w14:textId="56C12BF0" w:rsidR="00185955" w:rsidRPr="009B39EC" w:rsidRDefault="00445CB5" w:rsidP="00185955">
            <w:pPr>
              <w:jc w:val="both"/>
              <w:rPr>
                <w:rFonts w:ascii="Arial" w:hAnsi="Arial" w:cs="Arial"/>
                <w:sz w:val="20"/>
                <w:szCs w:val="20"/>
                <w:lang w:val="en-GB"/>
              </w:rPr>
            </w:pPr>
            <w:r w:rsidRPr="009B39EC">
              <w:rPr>
                <w:rFonts w:ascii="Arial" w:hAnsi="Arial" w:cs="Arial"/>
                <w:sz w:val="20"/>
                <w:szCs w:val="20"/>
                <w:lang w:val="en-GB"/>
              </w:rPr>
              <w:t xml:space="preserve">Within the Ministry of Health and Social Protection (MHSP) the coordinating responsibilities are discharged by the </w:t>
            </w:r>
            <w:r w:rsidR="00CB6FF2" w:rsidRPr="009B39EC">
              <w:rPr>
                <w:rFonts w:ascii="Arial" w:hAnsi="Arial" w:cs="Arial"/>
                <w:b/>
                <w:bCs/>
                <w:sz w:val="20"/>
                <w:szCs w:val="20"/>
                <w:lang w:val="en-GB"/>
              </w:rPr>
              <w:t>Section on Policy and Strategies on Social Inclusion and Gender Equality</w:t>
            </w:r>
            <w:r w:rsidR="00CB6FF2" w:rsidRPr="009B39EC">
              <w:rPr>
                <w:rFonts w:ascii="Arial" w:hAnsi="Arial" w:cs="Arial"/>
                <w:sz w:val="20"/>
                <w:szCs w:val="20"/>
                <w:lang w:val="en-GB"/>
              </w:rPr>
              <w:t xml:space="preserve"> within the Department for Policy and Development of Health Care and Social Protection Directorate under the General Directorate for Policies and Development of Health and Social Protection</w:t>
            </w:r>
            <w:r w:rsidRPr="009B39EC">
              <w:rPr>
                <w:rFonts w:ascii="Arial" w:hAnsi="Arial" w:cs="Arial"/>
                <w:sz w:val="20"/>
                <w:szCs w:val="20"/>
                <w:lang w:val="en-GB"/>
              </w:rPr>
              <w:t xml:space="preserve">. </w:t>
            </w:r>
            <w:r w:rsidR="0022400F" w:rsidRPr="009B39EC">
              <w:rPr>
                <w:rFonts w:ascii="Arial" w:hAnsi="Arial" w:cs="Arial"/>
                <w:sz w:val="20"/>
                <w:szCs w:val="20"/>
                <w:lang w:val="en-GB"/>
              </w:rPr>
              <w:t>The Section is composed of</w:t>
            </w:r>
            <w:r w:rsidR="0022400F" w:rsidRPr="009B39EC">
              <w:rPr>
                <w:rFonts w:ascii="Arial" w:hAnsi="Arial" w:cs="Arial"/>
                <w:b/>
                <w:sz w:val="20"/>
                <w:szCs w:val="20"/>
                <w:lang w:val="en-GB"/>
              </w:rPr>
              <w:t xml:space="preserve"> </w:t>
            </w:r>
            <w:r w:rsidR="000D088F" w:rsidRPr="009B39EC">
              <w:rPr>
                <w:rFonts w:ascii="Arial" w:hAnsi="Arial" w:cs="Arial"/>
                <w:b/>
                <w:sz w:val="20"/>
                <w:szCs w:val="20"/>
                <w:lang w:val="en-GB"/>
              </w:rPr>
              <w:t>a</w:t>
            </w:r>
            <w:r w:rsidR="0022400F" w:rsidRPr="009B39EC">
              <w:rPr>
                <w:rFonts w:ascii="Arial" w:hAnsi="Arial" w:cs="Arial"/>
                <w:b/>
                <w:sz w:val="20"/>
                <w:szCs w:val="20"/>
                <w:lang w:val="en-GB"/>
              </w:rPr>
              <w:t xml:space="preserve"> Head of Section and four experts</w:t>
            </w:r>
            <w:r w:rsidR="00185955" w:rsidRPr="009B39EC">
              <w:rPr>
                <w:rFonts w:ascii="Arial" w:hAnsi="Arial" w:cs="Arial"/>
                <w:b/>
                <w:bCs/>
                <w:sz w:val="20"/>
                <w:szCs w:val="20"/>
                <w:lang w:val="en-GB"/>
              </w:rPr>
              <w:t>,</w:t>
            </w:r>
            <w:r w:rsidR="00185955" w:rsidRPr="009B39EC">
              <w:rPr>
                <w:rFonts w:ascii="Arial" w:hAnsi="Arial" w:cs="Arial"/>
                <w:sz w:val="20"/>
                <w:szCs w:val="20"/>
                <w:lang w:val="en-GB"/>
              </w:rPr>
              <w:t xml:space="preserve"> (t</w:t>
            </w:r>
            <w:r w:rsidR="0022400F" w:rsidRPr="009B39EC">
              <w:rPr>
                <w:rFonts w:ascii="Arial" w:hAnsi="Arial" w:cs="Arial"/>
                <w:sz w:val="20"/>
                <w:szCs w:val="20"/>
                <w:lang w:val="en-GB"/>
              </w:rPr>
              <w:t>hree women and one man</w:t>
            </w:r>
            <w:r w:rsidR="00185955" w:rsidRPr="009B39EC">
              <w:rPr>
                <w:rFonts w:ascii="Arial" w:hAnsi="Arial" w:cs="Arial"/>
                <w:sz w:val="20"/>
                <w:szCs w:val="20"/>
                <w:lang w:val="en-GB"/>
              </w:rPr>
              <w:t xml:space="preserve">) </w:t>
            </w:r>
            <w:r w:rsidR="0022400F" w:rsidRPr="009B39EC">
              <w:rPr>
                <w:rFonts w:ascii="Arial" w:hAnsi="Arial" w:cs="Arial"/>
                <w:sz w:val="20"/>
                <w:szCs w:val="20"/>
                <w:lang w:val="en-GB"/>
              </w:rPr>
              <w:t xml:space="preserve">who are tasked with coordinating and monitoring a series of </w:t>
            </w:r>
            <w:r w:rsidR="00FC7083" w:rsidRPr="009B39EC">
              <w:rPr>
                <w:rFonts w:ascii="Arial" w:hAnsi="Arial" w:cs="Arial"/>
                <w:sz w:val="20"/>
                <w:szCs w:val="20"/>
                <w:lang w:val="en-GB"/>
              </w:rPr>
              <w:t xml:space="preserve">targeted </w:t>
            </w:r>
            <w:r w:rsidR="0022400F" w:rsidRPr="009B39EC">
              <w:rPr>
                <w:rFonts w:ascii="Arial" w:hAnsi="Arial" w:cs="Arial"/>
                <w:sz w:val="20"/>
                <w:szCs w:val="20"/>
                <w:lang w:val="en-GB"/>
              </w:rPr>
              <w:t>actions</w:t>
            </w:r>
            <w:r w:rsidR="00FC7083" w:rsidRPr="009B39EC">
              <w:rPr>
                <w:rFonts w:ascii="Arial" w:hAnsi="Arial" w:cs="Arial"/>
                <w:sz w:val="20"/>
                <w:szCs w:val="20"/>
                <w:lang w:val="en-GB"/>
              </w:rPr>
              <w:t xml:space="preserve"> focusing not only on gender equality and gender-based violence</w:t>
            </w:r>
            <w:r w:rsidR="000D088F" w:rsidRPr="009B39EC">
              <w:rPr>
                <w:rFonts w:ascii="Arial" w:hAnsi="Arial" w:cs="Arial"/>
                <w:sz w:val="20"/>
                <w:szCs w:val="20"/>
                <w:lang w:val="en-GB"/>
              </w:rPr>
              <w:t xml:space="preserve"> issues</w:t>
            </w:r>
            <w:r w:rsidR="00FC7083" w:rsidRPr="009B39EC">
              <w:rPr>
                <w:rFonts w:ascii="Arial" w:hAnsi="Arial" w:cs="Arial"/>
                <w:sz w:val="20"/>
                <w:szCs w:val="20"/>
                <w:lang w:val="en-GB"/>
              </w:rPr>
              <w:t>, but also on minorit</w:t>
            </w:r>
            <w:r w:rsidR="000D088F" w:rsidRPr="009B39EC">
              <w:rPr>
                <w:rFonts w:ascii="Arial" w:hAnsi="Arial" w:cs="Arial"/>
                <w:sz w:val="20"/>
                <w:szCs w:val="20"/>
                <w:lang w:val="en-GB"/>
              </w:rPr>
              <w:t>y groups</w:t>
            </w:r>
            <w:r w:rsidR="00FC7083" w:rsidRPr="009B39EC">
              <w:rPr>
                <w:rFonts w:ascii="Arial" w:hAnsi="Arial" w:cs="Arial"/>
                <w:sz w:val="20"/>
                <w:szCs w:val="20"/>
                <w:lang w:val="en-GB"/>
              </w:rPr>
              <w:t xml:space="preserve">, diversity, </w:t>
            </w:r>
            <w:r w:rsidRPr="009B39EC">
              <w:rPr>
                <w:rFonts w:ascii="Arial" w:hAnsi="Arial" w:cs="Arial"/>
                <w:sz w:val="20"/>
                <w:szCs w:val="20"/>
                <w:lang w:val="en-GB"/>
              </w:rPr>
              <w:t>children’s</w:t>
            </w:r>
            <w:r w:rsidR="00FC7083" w:rsidRPr="009B39EC">
              <w:rPr>
                <w:rFonts w:ascii="Arial" w:hAnsi="Arial" w:cs="Arial"/>
                <w:sz w:val="20"/>
                <w:szCs w:val="20"/>
                <w:lang w:val="en-GB"/>
              </w:rPr>
              <w:t>’ rights, etc.</w:t>
            </w:r>
            <w:r w:rsidR="00171550" w:rsidRPr="009B39EC">
              <w:rPr>
                <w:rFonts w:ascii="Arial" w:hAnsi="Arial" w:cs="Arial"/>
                <w:sz w:val="20"/>
                <w:szCs w:val="20"/>
                <w:lang w:val="en-GB"/>
              </w:rPr>
              <w:t>,</w:t>
            </w:r>
            <w:r w:rsidR="00185955" w:rsidRPr="009B39EC">
              <w:rPr>
                <w:rFonts w:ascii="Arial" w:hAnsi="Arial" w:cs="Arial"/>
                <w:sz w:val="20"/>
                <w:szCs w:val="20"/>
                <w:lang w:val="en-GB"/>
              </w:rPr>
              <w:t xml:space="preserve"> (</w:t>
            </w:r>
            <w:r w:rsidR="00FC7083" w:rsidRPr="009B39EC">
              <w:rPr>
                <w:rFonts w:ascii="Arial" w:hAnsi="Arial" w:cs="Arial"/>
                <w:sz w:val="20"/>
                <w:szCs w:val="20"/>
                <w:lang w:val="en-GB"/>
              </w:rPr>
              <w:t xml:space="preserve">as reflected </w:t>
            </w:r>
            <w:r w:rsidR="00171550" w:rsidRPr="009B39EC">
              <w:rPr>
                <w:rFonts w:ascii="Arial" w:hAnsi="Arial" w:cs="Arial"/>
                <w:sz w:val="20"/>
                <w:szCs w:val="20"/>
                <w:lang w:val="en-GB"/>
              </w:rPr>
              <w:t>in</w:t>
            </w:r>
            <w:r w:rsidR="00FC7083" w:rsidRPr="009B39EC">
              <w:rPr>
                <w:rFonts w:ascii="Arial" w:hAnsi="Arial" w:cs="Arial"/>
                <w:sz w:val="20"/>
                <w:szCs w:val="20"/>
                <w:lang w:val="en-GB"/>
              </w:rPr>
              <w:t xml:space="preserve"> the name of the section</w:t>
            </w:r>
            <w:r w:rsidR="00185955" w:rsidRPr="009B39EC">
              <w:rPr>
                <w:rFonts w:ascii="Arial" w:hAnsi="Arial" w:cs="Arial"/>
                <w:sz w:val="20"/>
                <w:szCs w:val="20"/>
                <w:lang w:val="en-GB"/>
              </w:rPr>
              <w:t xml:space="preserve">). </w:t>
            </w:r>
            <w:r w:rsidR="00FC7083" w:rsidRPr="009B39EC">
              <w:rPr>
                <w:rFonts w:ascii="Arial" w:hAnsi="Arial" w:cs="Arial"/>
                <w:sz w:val="20"/>
                <w:szCs w:val="20"/>
                <w:lang w:val="en-GB"/>
              </w:rPr>
              <w:t xml:space="preserve">In terms of financial resources, there has been an increase in the budget, which mainly goes </w:t>
            </w:r>
            <w:r w:rsidR="00171550" w:rsidRPr="009B39EC">
              <w:rPr>
                <w:rFonts w:ascii="Arial" w:hAnsi="Arial" w:cs="Arial"/>
                <w:sz w:val="20"/>
                <w:szCs w:val="20"/>
                <w:lang w:val="en-GB"/>
              </w:rPr>
              <w:t>for</w:t>
            </w:r>
            <w:r w:rsidR="00FC7083" w:rsidRPr="009B39EC">
              <w:rPr>
                <w:rFonts w:ascii="Arial" w:hAnsi="Arial" w:cs="Arial"/>
                <w:sz w:val="20"/>
                <w:szCs w:val="20"/>
                <w:lang w:val="en-GB"/>
              </w:rPr>
              <w:t xml:space="preserve"> staff salaries. </w:t>
            </w:r>
            <w:r w:rsidR="00171550" w:rsidRPr="009B39EC">
              <w:rPr>
                <w:rFonts w:ascii="Arial" w:hAnsi="Arial" w:cs="Arial"/>
                <w:sz w:val="20"/>
                <w:szCs w:val="20"/>
                <w:lang w:val="en-GB"/>
              </w:rPr>
              <w:t>O</w:t>
            </w:r>
            <w:r w:rsidR="00FC7083" w:rsidRPr="009B39EC">
              <w:rPr>
                <w:rFonts w:ascii="Arial" w:hAnsi="Arial" w:cs="Arial"/>
                <w:sz w:val="20"/>
                <w:szCs w:val="20"/>
                <w:lang w:val="en-GB"/>
              </w:rPr>
              <w:t>ther activities</w:t>
            </w:r>
            <w:r w:rsidR="00171550" w:rsidRPr="009B39EC">
              <w:rPr>
                <w:rFonts w:ascii="Arial" w:hAnsi="Arial" w:cs="Arial"/>
                <w:sz w:val="20"/>
                <w:szCs w:val="20"/>
                <w:lang w:val="en-GB"/>
              </w:rPr>
              <w:t xml:space="preserve">, such as </w:t>
            </w:r>
            <w:r w:rsidR="00FC7083" w:rsidRPr="009B39EC">
              <w:rPr>
                <w:rFonts w:ascii="Arial" w:hAnsi="Arial" w:cs="Arial"/>
                <w:sz w:val="20"/>
                <w:szCs w:val="20"/>
                <w:lang w:val="en-GB"/>
              </w:rPr>
              <w:t xml:space="preserve">awareness-raising events, strengthening of capacities, monitoring and evaluation processes, are also supported by international organisations. In addition, the Section has also been </w:t>
            </w:r>
            <w:r w:rsidR="00171550" w:rsidRPr="009B39EC">
              <w:rPr>
                <w:rFonts w:ascii="Arial" w:hAnsi="Arial" w:cs="Arial"/>
                <w:sz w:val="20"/>
                <w:szCs w:val="20"/>
                <w:lang w:val="en-GB"/>
              </w:rPr>
              <w:t>supported with expert</w:t>
            </w:r>
            <w:r w:rsidR="00FC7083" w:rsidRPr="009B39EC">
              <w:rPr>
                <w:rFonts w:ascii="Arial" w:hAnsi="Arial" w:cs="Arial"/>
                <w:sz w:val="20"/>
                <w:szCs w:val="20"/>
                <w:lang w:val="en-GB"/>
              </w:rPr>
              <w:t xml:space="preserve"> technical assistance</w:t>
            </w:r>
            <w:r w:rsidR="003468B6" w:rsidRPr="009B39EC">
              <w:rPr>
                <w:rFonts w:ascii="Arial" w:hAnsi="Arial" w:cs="Arial"/>
                <w:sz w:val="20"/>
                <w:szCs w:val="20"/>
                <w:lang w:val="en-GB"/>
              </w:rPr>
              <w:t xml:space="preserve">, through regular expert secondments to the Section by </w:t>
            </w:r>
            <w:r w:rsidR="00FC7083" w:rsidRPr="009B39EC">
              <w:rPr>
                <w:rFonts w:ascii="Arial" w:hAnsi="Arial" w:cs="Arial"/>
                <w:sz w:val="20"/>
                <w:szCs w:val="20"/>
                <w:lang w:val="en-GB"/>
              </w:rPr>
              <w:t>the international organisations (</w:t>
            </w:r>
            <w:r w:rsidRPr="009B39EC">
              <w:rPr>
                <w:rFonts w:ascii="Arial" w:hAnsi="Arial" w:cs="Arial"/>
                <w:sz w:val="20"/>
                <w:szCs w:val="20"/>
                <w:lang w:val="en-GB"/>
              </w:rPr>
              <w:t>primarily</w:t>
            </w:r>
            <w:r w:rsidR="00FC7083" w:rsidRPr="009B39EC">
              <w:rPr>
                <w:rFonts w:ascii="Arial" w:hAnsi="Arial" w:cs="Arial"/>
                <w:sz w:val="20"/>
                <w:szCs w:val="20"/>
                <w:lang w:val="en-GB"/>
              </w:rPr>
              <w:t xml:space="preserve"> United Nations Agencies and the Council </w:t>
            </w:r>
            <w:r w:rsidRPr="009B39EC">
              <w:rPr>
                <w:rFonts w:ascii="Arial" w:hAnsi="Arial" w:cs="Arial"/>
                <w:sz w:val="20"/>
                <w:szCs w:val="20"/>
                <w:lang w:val="en-GB"/>
              </w:rPr>
              <w:t>of</w:t>
            </w:r>
            <w:r w:rsidR="00FC7083" w:rsidRPr="009B39EC">
              <w:rPr>
                <w:rFonts w:ascii="Arial" w:hAnsi="Arial" w:cs="Arial"/>
                <w:sz w:val="20"/>
                <w:szCs w:val="20"/>
                <w:lang w:val="en-GB"/>
              </w:rPr>
              <w:t xml:space="preserve"> Europe)</w:t>
            </w:r>
            <w:r w:rsidR="00185955" w:rsidRPr="009B39EC">
              <w:rPr>
                <w:rFonts w:ascii="Arial" w:hAnsi="Arial" w:cs="Arial"/>
                <w:sz w:val="20"/>
                <w:szCs w:val="20"/>
                <w:lang w:val="en-GB"/>
              </w:rPr>
              <w:t xml:space="preserve">. </w:t>
            </w:r>
          </w:p>
          <w:p w14:paraId="3D30DEED" w14:textId="015EE836" w:rsidR="00185955" w:rsidRPr="009B39EC" w:rsidRDefault="00185955" w:rsidP="00B05D19">
            <w:pPr>
              <w:jc w:val="both"/>
              <w:rPr>
                <w:rFonts w:ascii="Arial" w:hAnsi="Arial" w:cs="Arial"/>
                <w:sz w:val="20"/>
                <w:szCs w:val="20"/>
                <w:lang w:val="en-GB"/>
              </w:rPr>
            </w:pPr>
          </w:p>
        </w:tc>
      </w:tr>
      <w:tr w:rsidR="00DC5A7D" w:rsidRPr="009B39EC" w14:paraId="1F25A2FC" w14:textId="77777777" w:rsidTr="004860C4">
        <w:tc>
          <w:tcPr>
            <w:tcW w:w="216" w:type="pct"/>
          </w:tcPr>
          <w:p w14:paraId="6850FCD4"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11</w:t>
            </w:r>
          </w:p>
        </w:tc>
        <w:tc>
          <w:tcPr>
            <w:tcW w:w="4784" w:type="pct"/>
            <w:gridSpan w:val="3"/>
          </w:tcPr>
          <w:p w14:paraId="768EB6E4" w14:textId="6656B7DB" w:rsidR="00DC5A7D" w:rsidRPr="009B39EC" w:rsidRDefault="008A479E" w:rsidP="00DC5A7D">
            <w:pPr>
              <w:jc w:val="both"/>
              <w:rPr>
                <w:rFonts w:ascii="Arial" w:hAnsi="Arial" w:cs="Arial"/>
                <w:sz w:val="20"/>
                <w:szCs w:val="20"/>
                <w:lang w:val="en-GB"/>
              </w:rPr>
            </w:pPr>
            <w:r w:rsidRPr="009B39EC">
              <w:rPr>
                <w:rFonts w:ascii="Arial" w:hAnsi="Arial" w:cs="Arial"/>
                <w:sz w:val="20"/>
                <w:szCs w:val="20"/>
                <w:lang w:val="en-GB"/>
              </w:rPr>
              <w:t>In case your authorities have taken further measures contributing to the implementation of recommendations in relation to Articles 7 and 10, which were not covered by the questions above, please report on these measures [word limit: 1000 words]</w:t>
            </w:r>
            <w:r w:rsidR="00185955" w:rsidRPr="009B39EC">
              <w:rPr>
                <w:rFonts w:ascii="Arial" w:hAnsi="Arial" w:cs="Arial"/>
                <w:sz w:val="20"/>
                <w:szCs w:val="20"/>
                <w:lang w:val="en-GB"/>
              </w:rPr>
              <w:t>:</w:t>
            </w:r>
          </w:p>
          <w:p w14:paraId="35150B13" w14:textId="77777777" w:rsidR="00185955" w:rsidRPr="009B39EC" w:rsidRDefault="00185955" w:rsidP="00DC5A7D">
            <w:pPr>
              <w:jc w:val="both"/>
              <w:rPr>
                <w:rFonts w:ascii="Arial" w:hAnsi="Arial" w:cs="Arial"/>
                <w:sz w:val="20"/>
                <w:szCs w:val="20"/>
                <w:lang w:val="en-GB"/>
              </w:rPr>
            </w:pPr>
          </w:p>
          <w:p w14:paraId="1B430273" w14:textId="5106AA50" w:rsidR="00753421" w:rsidRPr="009B39EC" w:rsidRDefault="00BA64D6" w:rsidP="00753421">
            <w:pPr>
              <w:jc w:val="both"/>
              <w:rPr>
                <w:rFonts w:ascii="Arial" w:hAnsi="Arial" w:cs="Arial"/>
                <w:sz w:val="20"/>
                <w:szCs w:val="20"/>
                <w:lang w:val="en-GB"/>
              </w:rPr>
            </w:pPr>
            <w:r w:rsidRPr="009B39EC">
              <w:rPr>
                <w:rFonts w:ascii="Arial" w:hAnsi="Arial" w:cs="Arial"/>
                <w:b/>
                <w:bCs/>
                <w:sz w:val="20"/>
                <w:szCs w:val="20"/>
                <w:lang w:val="en-GB"/>
              </w:rPr>
              <w:t>Regarding</w:t>
            </w:r>
            <w:r w:rsidR="003468B6" w:rsidRPr="009B39EC">
              <w:rPr>
                <w:rFonts w:ascii="Arial" w:hAnsi="Arial" w:cs="Arial"/>
                <w:b/>
                <w:bCs/>
                <w:sz w:val="20"/>
                <w:szCs w:val="20"/>
                <w:lang w:val="en-GB"/>
              </w:rPr>
              <w:t xml:space="preserve"> Article </w:t>
            </w:r>
            <w:r w:rsidR="00753421" w:rsidRPr="009B39EC">
              <w:rPr>
                <w:rFonts w:ascii="Arial" w:hAnsi="Arial" w:cs="Arial"/>
                <w:b/>
                <w:bCs/>
                <w:sz w:val="20"/>
                <w:szCs w:val="20"/>
                <w:lang w:val="en-GB"/>
              </w:rPr>
              <w:t>7</w:t>
            </w:r>
            <w:r w:rsidR="00753421" w:rsidRPr="009B39EC">
              <w:rPr>
                <w:rFonts w:ascii="Arial" w:hAnsi="Arial" w:cs="Arial"/>
                <w:sz w:val="20"/>
                <w:szCs w:val="20"/>
                <w:lang w:val="en-GB"/>
              </w:rPr>
              <w:t xml:space="preserve">: </w:t>
            </w:r>
            <w:r w:rsidR="00B70A6D" w:rsidRPr="009B39EC">
              <w:rPr>
                <w:rFonts w:ascii="Arial" w:hAnsi="Arial" w:cs="Arial"/>
                <w:b/>
                <w:sz w:val="20"/>
                <w:szCs w:val="20"/>
                <w:lang w:val="en-GB"/>
              </w:rPr>
              <w:t xml:space="preserve">The </w:t>
            </w:r>
            <w:r w:rsidR="00171550" w:rsidRPr="009B39EC">
              <w:rPr>
                <w:rFonts w:ascii="Arial" w:hAnsi="Arial" w:cs="Arial"/>
                <w:b/>
                <w:bCs/>
                <w:sz w:val="20"/>
                <w:szCs w:val="20"/>
                <w:lang w:val="en-GB"/>
              </w:rPr>
              <w:t xml:space="preserve">2021-2030 </w:t>
            </w:r>
            <w:r w:rsidR="00B70A6D" w:rsidRPr="009B39EC">
              <w:rPr>
                <w:rFonts w:ascii="Arial" w:hAnsi="Arial" w:cs="Arial"/>
                <w:b/>
                <w:sz w:val="20"/>
                <w:szCs w:val="20"/>
                <w:lang w:val="en-GB"/>
              </w:rPr>
              <w:t xml:space="preserve">National Strategy on Gender Equality </w:t>
            </w:r>
            <w:r w:rsidR="00753421" w:rsidRPr="009B39EC">
              <w:rPr>
                <w:rFonts w:ascii="Arial" w:hAnsi="Arial" w:cs="Arial"/>
                <w:b/>
                <w:bCs/>
                <w:sz w:val="20"/>
                <w:szCs w:val="20"/>
                <w:lang w:val="en-GB"/>
              </w:rPr>
              <w:t>(</w:t>
            </w:r>
            <w:r w:rsidR="00B70A6D" w:rsidRPr="009B39EC">
              <w:rPr>
                <w:rFonts w:ascii="Arial" w:hAnsi="Arial" w:cs="Arial"/>
                <w:b/>
                <w:bCs/>
                <w:sz w:val="20"/>
                <w:szCs w:val="20"/>
                <w:lang w:val="en-GB"/>
              </w:rPr>
              <w:t>NSGE</w:t>
            </w:r>
            <w:r w:rsidR="00753421" w:rsidRPr="009B39EC">
              <w:rPr>
                <w:rFonts w:ascii="Arial" w:hAnsi="Arial" w:cs="Arial"/>
                <w:b/>
                <w:bCs/>
                <w:sz w:val="20"/>
                <w:szCs w:val="20"/>
                <w:lang w:val="en-GB"/>
              </w:rPr>
              <w:t>)</w:t>
            </w:r>
            <w:r w:rsidR="00B70A6D" w:rsidRPr="009B39EC">
              <w:rPr>
                <w:rFonts w:ascii="Arial" w:hAnsi="Arial" w:cs="Arial"/>
                <w:b/>
                <w:bCs/>
                <w:sz w:val="20"/>
                <w:szCs w:val="20"/>
                <w:lang w:val="en-GB"/>
              </w:rPr>
              <w:t xml:space="preserve">, </w:t>
            </w:r>
            <w:r w:rsidR="00B70A6D" w:rsidRPr="009B39EC">
              <w:rPr>
                <w:rFonts w:ascii="Arial" w:hAnsi="Arial" w:cs="Arial"/>
                <w:bCs/>
                <w:sz w:val="20"/>
                <w:szCs w:val="20"/>
                <w:lang w:val="en-GB"/>
              </w:rPr>
              <w:t xml:space="preserve">the fourth </w:t>
            </w:r>
            <w:r w:rsidR="00716A25" w:rsidRPr="009B39EC">
              <w:rPr>
                <w:rFonts w:ascii="Arial" w:hAnsi="Arial" w:cs="Arial"/>
                <w:bCs/>
                <w:sz w:val="20"/>
                <w:szCs w:val="20"/>
                <w:lang w:val="en-GB"/>
              </w:rPr>
              <w:t>of its kind in Albania, is currently in the process of being adopted</w:t>
            </w:r>
            <w:r w:rsidR="00753421" w:rsidRPr="009B39EC">
              <w:rPr>
                <w:rFonts w:ascii="Arial" w:hAnsi="Arial" w:cs="Arial"/>
                <w:sz w:val="20"/>
                <w:szCs w:val="20"/>
                <w:lang w:val="en-GB"/>
              </w:rPr>
              <w:t xml:space="preserve">. </w:t>
            </w:r>
            <w:r w:rsidR="00171550" w:rsidRPr="009B39EC">
              <w:rPr>
                <w:rFonts w:ascii="Arial" w:hAnsi="Arial" w:cs="Arial"/>
                <w:sz w:val="20"/>
                <w:szCs w:val="20"/>
                <w:lang w:val="en-GB"/>
              </w:rPr>
              <w:t xml:space="preserve">The </w:t>
            </w:r>
            <w:r w:rsidR="00753421" w:rsidRPr="009B39EC">
              <w:rPr>
                <w:rFonts w:ascii="Arial" w:hAnsi="Arial" w:cs="Arial"/>
                <w:sz w:val="20"/>
                <w:szCs w:val="20"/>
                <w:lang w:val="en-GB"/>
              </w:rPr>
              <w:t xml:space="preserve">2021-2030 </w:t>
            </w:r>
            <w:r w:rsidR="00171550" w:rsidRPr="009B39EC">
              <w:rPr>
                <w:rFonts w:ascii="Arial" w:hAnsi="Arial" w:cs="Arial"/>
                <w:sz w:val="20"/>
                <w:szCs w:val="20"/>
                <w:lang w:val="en-GB"/>
              </w:rPr>
              <w:t xml:space="preserve">NSGE </w:t>
            </w:r>
            <w:r w:rsidR="00716A25" w:rsidRPr="009B39EC">
              <w:rPr>
                <w:rFonts w:ascii="Arial" w:hAnsi="Arial" w:cs="Arial"/>
                <w:sz w:val="20"/>
                <w:szCs w:val="20"/>
                <w:lang w:val="en-GB"/>
              </w:rPr>
              <w:t xml:space="preserve">is </w:t>
            </w:r>
            <w:r w:rsidR="00171550" w:rsidRPr="009B39EC">
              <w:rPr>
                <w:rFonts w:ascii="Arial" w:hAnsi="Arial" w:cs="Arial"/>
                <w:sz w:val="20"/>
                <w:szCs w:val="20"/>
                <w:lang w:val="en-GB"/>
              </w:rPr>
              <w:t xml:space="preserve">underpinned by </w:t>
            </w:r>
            <w:r w:rsidR="00716A25" w:rsidRPr="009B39EC">
              <w:rPr>
                <w:rFonts w:ascii="Arial" w:hAnsi="Arial" w:cs="Arial"/>
                <w:sz w:val="20"/>
                <w:szCs w:val="20"/>
                <w:lang w:val="en-GB"/>
              </w:rPr>
              <w:t>the objectives of the Govern</w:t>
            </w:r>
            <w:r w:rsidR="00753421" w:rsidRPr="009B39EC">
              <w:rPr>
                <w:rFonts w:ascii="Arial" w:hAnsi="Arial" w:cs="Arial"/>
                <w:sz w:val="20"/>
                <w:szCs w:val="20"/>
                <w:lang w:val="en-GB"/>
              </w:rPr>
              <w:t>m</w:t>
            </w:r>
            <w:r w:rsidR="00716A25" w:rsidRPr="009B39EC">
              <w:rPr>
                <w:rFonts w:ascii="Arial" w:hAnsi="Arial" w:cs="Arial"/>
                <w:sz w:val="20"/>
                <w:szCs w:val="20"/>
                <w:lang w:val="en-GB"/>
              </w:rPr>
              <w:t xml:space="preserve">ent Programme on </w:t>
            </w:r>
            <w:r w:rsidR="008E6578" w:rsidRPr="009B39EC">
              <w:rPr>
                <w:rFonts w:ascii="Arial" w:hAnsi="Arial" w:cs="Arial"/>
                <w:sz w:val="20"/>
                <w:szCs w:val="20"/>
                <w:lang w:val="en-GB"/>
              </w:rPr>
              <w:t>g</w:t>
            </w:r>
            <w:r w:rsidR="00716A25" w:rsidRPr="009B39EC">
              <w:rPr>
                <w:rFonts w:ascii="Arial" w:hAnsi="Arial" w:cs="Arial"/>
                <w:sz w:val="20"/>
                <w:szCs w:val="20"/>
                <w:lang w:val="en-GB"/>
              </w:rPr>
              <w:t xml:space="preserve">ender </w:t>
            </w:r>
            <w:r w:rsidR="008E6578" w:rsidRPr="009B39EC">
              <w:rPr>
                <w:rFonts w:ascii="Arial" w:hAnsi="Arial" w:cs="Arial"/>
                <w:sz w:val="20"/>
                <w:szCs w:val="20"/>
                <w:lang w:val="en-GB"/>
              </w:rPr>
              <w:t>e</w:t>
            </w:r>
            <w:r w:rsidR="00716A25" w:rsidRPr="009B39EC">
              <w:rPr>
                <w:rFonts w:ascii="Arial" w:hAnsi="Arial" w:cs="Arial"/>
                <w:sz w:val="20"/>
                <w:szCs w:val="20"/>
                <w:lang w:val="en-GB"/>
              </w:rPr>
              <w:t xml:space="preserve">quality and </w:t>
            </w:r>
            <w:r w:rsidR="008E6578" w:rsidRPr="009B39EC">
              <w:rPr>
                <w:rFonts w:ascii="Arial" w:hAnsi="Arial" w:cs="Arial"/>
                <w:sz w:val="20"/>
                <w:szCs w:val="20"/>
                <w:lang w:val="en-GB"/>
              </w:rPr>
              <w:t>c</w:t>
            </w:r>
            <w:r w:rsidR="00716A25" w:rsidRPr="009B39EC">
              <w:rPr>
                <w:rFonts w:ascii="Arial" w:hAnsi="Arial" w:cs="Arial"/>
                <w:sz w:val="20"/>
                <w:szCs w:val="20"/>
                <w:lang w:val="en-GB"/>
              </w:rPr>
              <w:t xml:space="preserve">ombatting </w:t>
            </w:r>
            <w:r w:rsidR="008E6578" w:rsidRPr="009B39EC">
              <w:rPr>
                <w:rFonts w:ascii="Arial" w:hAnsi="Arial" w:cs="Arial"/>
                <w:sz w:val="20"/>
                <w:szCs w:val="20"/>
                <w:lang w:val="en-GB"/>
              </w:rPr>
              <w:t>g</w:t>
            </w:r>
            <w:r w:rsidR="00716A25" w:rsidRPr="009B39EC">
              <w:rPr>
                <w:rFonts w:ascii="Arial" w:hAnsi="Arial" w:cs="Arial"/>
                <w:sz w:val="20"/>
                <w:szCs w:val="20"/>
                <w:lang w:val="en-GB"/>
              </w:rPr>
              <w:t xml:space="preserve">ender-based violence </w:t>
            </w:r>
            <w:r w:rsidR="00451719" w:rsidRPr="009B39EC">
              <w:rPr>
                <w:rFonts w:ascii="Arial" w:hAnsi="Arial" w:cs="Arial"/>
                <w:sz w:val="20"/>
                <w:szCs w:val="20"/>
                <w:lang w:val="en-GB"/>
              </w:rPr>
              <w:t>and domestic violence, national leg</w:t>
            </w:r>
            <w:r w:rsidR="008E6578" w:rsidRPr="009B39EC">
              <w:rPr>
                <w:rFonts w:ascii="Arial" w:hAnsi="Arial" w:cs="Arial"/>
                <w:sz w:val="20"/>
                <w:szCs w:val="20"/>
                <w:lang w:val="en-GB"/>
              </w:rPr>
              <w:t>islation</w:t>
            </w:r>
            <w:r w:rsidR="00451719" w:rsidRPr="009B39EC">
              <w:rPr>
                <w:rFonts w:ascii="Arial" w:hAnsi="Arial" w:cs="Arial"/>
                <w:sz w:val="20"/>
                <w:szCs w:val="20"/>
                <w:lang w:val="en-GB"/>
              </w:rPr>
              <w:t>, as well as international obligations deriving from ratified conventions and agreements in the field, including the Istanbul Convention</w:t>
            </w:r>
            <w:r w:rsidR="00406DF8" w:rsidRPr="009B39EC">
              <w:rPr>
                <w:rFonts w:ascii="Arial" w:hAnsi="Arial" w:cs="Arial"/>
                <w:sz w:val="20"/>
                <w:szCs w:val="20"/>
                <w:lang w:val="en-GB"/>
              </w:rPr>
              <w:t xml:space="preserve">, with </w:t>
            </w:r>
            <w:r w:rsidR="008E6578" w:rsidRPr="009B39EC">
              <w:rPr>
                <w:rFonts w:ascii="Arial" w:hAnsi="Arial" w:cs="Arial"/>
                <w:sz w:val="20"/>
                <w:szCs w:val="20"/>
                <w:lang w:val="en-GB"/>
              </w:rPr>
              <w:t xml:space="preserve">a </w:t>
            </w:r>
            <w:r w:rsidR="001B53F2" w:rsidRPr="009B39EC">
              <w:rPr>
                <w:rFonts w:ascii="Arial" w:hAnsi="Arial" w:cs="Arial"/>
                <w:sz w:val="20"/>
                <w:szCs w:val="20"/>
                <w:lang w:val="en-GB"/>
              </w:rPr>
              <w:t xml:space="preserve">particular </w:t>
            </w:r>
            <w:r w:rsidR="00406DF8" w:rsidRPr="009B39EC">
              <w:rPr>
                <w:rFonts w:ascii="Arial" w:hAnsi="Arial" w:cs="Arial"/>
                <w:sz w:val="20"/>
                <w:szCs w:val="20"/>
                <w:lang w:val="en-GB"/>
              </w:rPr>
              <w:t>focus on</w:t>
            </w:r>
            <w:r w:rsidR="00451719" w:rsidRPr="009B39EC">
              <w:rPr>
                <w:rFonts w:ascii="Arial" w:hAnsi="Arial" w:cs="Arial"/>
                <w:sz w:val="20"/>
                <w:szCs w:val="20"/>
                <w:lang w:val="en-GB"/>
              </w:rPr>
              <w:t xml:space="preserve"> ensuring </w:t>
            </w:r>
            <w:r w:rsidR="00406DF8" w:rsidRPr="009B39EC">
              <w:rPr>
                <w:rFonts w:ascii="Arial" w:hAnsi="Arial" w:cs="Arial"/>
                <w:sz w:val="20"/>
                <w:szCs w:val="20"/>
                <w:lang w:val="en-GB"/>
              </w:rPr>
              <w:t xml:space="preserve">its </w:t>
            </w:r>
            <w:r w:rsidR="00451719" w:rsidRPr="009B39EC">
              <w:rPr>
                <w:rFonts w:ascii="Arial" w:hAnsi="Arial" w:cs="Arial"/>
                <w:sz w:val="20"/>
                <w:szCs w:val="20"/>
                <w:lang w:val="en-GB"/>
              </w:rPr>
              <w:t xml:space="preserve">alignment with European Union policies in the framework of integration processes. In addition, the European Commission Recommendations </w:t>
            </w:r>
            <w:r w:rsidR="008E6578" w:rsidRPr="009B39EC">
              <w:rPr>
                <w:rFonts w:ascii="Arial" w:hAnsi="Arial" w:cs="Arial"/>
                <w:sz w:val="20"/>
                <w:szCs w:val="20"/>
                <w:lang w:val="en-GB"/>
              </w:rPr>
              <w:t>outlined</w:t>
            </w:r>
            <w:r w:rsidR="00451719" w:rsidRPr="009B39EC">
              <w:rPr>
                <w:rFonts w:ascii="Arial" w:hAnsi="Arial" w:cs="Arial"/>
                <w:sz w:val="20"/>
                <w:szCs w:val="20"/>
                <w:lang w:val="en-GB"/>
              </w:rPr>
              <w:t xml:space="preserve"> in the Albania 2020 Report</w:t>
            </w:r>
            <w:r w:rsidR="00753421" w:rsidRPr="009B39EC">
              <w:rPr>
                <w:rFonts w:ascii="Arial" w:hAnsi="Arial" w:cs="Arial"/>
                <w:sz w:val="20"/>
                <w:szCs w:val="20"/>
                <w:lang w:val="en-GB"/>
              </w:rPr>
              <w:t xml:space="preserve">, </w:t>
            </w:r>
            <w:r w:rsidR="00451719" w:rsidRPr="009B39EC">
              <w:rPr>
                <w:rFonts w:ascii="Arial" w:hAnsi="Arial" w:cs="Arial"/>
                <w:sz w:val="20"/>
                <w:szCs w:val="20"/>
                <w:lang w:val="en-GB"/>
              </w:rPr>
              <w:t xml:space="preserve">which identifies the main issues for </w:t>
            </w:r>
            <w:r w:rsidR="00753421" w:rsidRPr="009B39EC">
              <w:rPr>
                <w:rFonts w:ascii="Arial" w:hAnsi="Arial" w:cs="Arial"/>
                <w:sz w:val="20"/>
                <w:szCs w:val="20"/>
                <w:lang w:val="en-GB"/>
              </w:rPr>
              <w:t>2021</w:t>
            </w:r>
            <w:r w:rsidR="001B53F2" w:rsidRPr="009B39EC">
              <w:rPr>
                <w:rFonts w:ascii="Arial" w:hAnsi="Arial" w:cs="Arial"/>
                <w:sz w:val="20"/>
                <w:szCs w:val="20"/>
                <w:lang w:val="en-GB"/>
              </w:rPr>
              <w:t xml:space="preserve">, were also </w:t>
            </w:r>
            <w:proofErr w:type="gramStart"/>
            <w:r w:rsidR="001B53F2" w:rsidRPr="009B39EC">
              <w:rPr>
                <w:rFonts w:ascii="Arial" w:hAnsi="Arial" w:cs="Arial"/>
                <w:sz w:val="20"/>
                <w:szCs w:val="20"/>
                <w:lang w:val="en-GB"/>
              </w:rPr>
              <w:t xml:space="preserve">taken </w:t>
            </w:r>
            <w:r w:rsidR="008E6578" w:rsidRPr="009B39EC">
              <w:rPr>
                <w:rFonts w:ascii="Arial" w:hAnsi="Arial" w:cs="Arial"/>
                <w:sz w:val="20"/>
                <w:szCs w:val="20"/>
                <w:lang w:val="en-GB"/>
              </w:rPr>
              <w:t>into account</w:t>
            </w:r>
            <w:proofErr w:type="gramEnd"/>
            <w:r w:rsidR="00753421" w:rsidRPr="009B39EC">
              <w:rPr>
                <w:rFonts w:ascii="Arial" w:hAnsi="Arial" w:cs="Arial"/>
                <w:sz w:val="20"/>
                <w:szCs w:val="20"/>
                <w:lang w:val="en-GB"/>
              </w:rPr>
              <w:t xml:space="preserve">. </w:t>
            </w:r>
            <w:r w:rsidR="00406DF8" w:rsidRPr="009B39EC">
              <w:rPr>
                <w:rFonts w:ascii="Arial" w:hAnsi="Arial" w:cs="Arial"/>
                <w:sz w:val="20"/>
                <w:szCs w:val="20"/>
                <w:lang w:val="en-GB"/>
              </w:rPr>
              <w:t>In dra</w:t>
            </w:r>
            <w:r w:rsidR="00451719" w:rsidRPr="009B39EC">
              <w:rPr>
                <w:rFonts w:ascii="Arial" w:hAnsi="Arial" w:cs="Arial"/>
                <w:sz w:val="20"/>
                <w:szCs w:val="20"/>
                <w:lang w:val="en-GB"/>
              </w:rPr>
              <w:t xml:space="preserve">fting of the </w:t>
            </w:r>
            <w:r w:rsidR="00406DF8" w:rsidRPr="009B39EC">
              <w:rPr>
                <w:rFonts w:ascii="Arial" w:hAnsi="Arial" w:cs="Arial"/>
                <w:sz w:val="20"/>
                <w:szCs w:val="20"/>
                <w:lang w:val="en-GB"/>
              </w:rPr>
              <w:t xml:space="preserve">Action Plan </w:t>
            </w:r>
            <w:r w:rsidR="008E6578" w:rsidRPr="009B39EC">
              <w:rPr>
                <w:rFonts w:ascii="Arial" w:hAnsi="Arial" w:cs="Arial"/>
                <w:sz w:val="20"/>
                <w:szCs w:val="20"/>
                <w:lang w:val="en-GB"/>
              </w:rPr>
              <w:t xml:space="preserve">for the implementation of the </w:t>
            </w:r>
            <w:r w:rsidR="00753421" w:rsidRPr="009B39EC">
              <w:rPr>
                <w:rFonts w:ascii="Arial" w:hAnsi="Arial" w:cs="Arial"/>
                <w:sz w:val="20"/>
                <w:szCs w:val="20"/>
                <w:lang w:val="en-GB"/>
              </w:rPr>
              <w:t>2021</w:t>
            </w:r>
            <w:r w:rsidR="00451719" w:rsidRPr="009B39EC">
              <w:rPr>
                <w:rFonts w:ascii="Arial" w:hAnsi="Arial" w:cs="Arial"/>
                <w:sz w:val="20"/>
                <w:szCs w:val="20"/>
                <w:lang w:val="en-GB"/>
              </w:rPr>
              <w:t>-</w:t>
            </w:r>
            <w:r w:rsidR="00753421" w:rsidRPr="009B39EC">
              <w:rPr>
                <w:rFonts w:ascii="Arial" w:hAnsi="Arial" w:cs="Arial"/>
                <w:sz w:val="20"/>
                <w:szCs w:val="20"/>
                <w:lang w:val="en-GB"/>
              </w:rPr>
              <w:t>2030</w:t>
            </w:r>
            <w:r w:rsidR="00406DF8" w:rsidRPr="009B39EC">
              <w:rPr>
                <w:rFonts w:ascii="Arial" w:hAnsi="Arial" w:cs="Arial"/>
                <w:sz w:val="20"/>
                <w:szCs w:val="20"/>
                <w:lang w:val="en-GB"/>
              </w:rPr>
              <w:t xml:space="preserve"> </w:t>
            </w:r>
            <w:r w:rsidR="008E6578" w:rsidRPr="009B39EC">
              <w:rPr>
                <w:rFonts w:ascii="Arial" w:hAnsi="Arial" w:cs="Arial"/>
                <w:sz w:val="20"/>
                <w:szCs w:val="20"/>
                <w:lang w:val="en-GB"/>
              </w:rPr>
              <w:t xml:space="preserve">NSGE, </w:t>
            </w:r>
            <w:r w:rsidR="00406DF8" w:rsidRPr="009B39EC">
              <w:rPr>
                <w:rFonts w:ascii="Arial" w:hAnsi="Arial" w:cs="Arial"/>
                <w:sz w:val="20"/>
                <w:szCs w:val="20"/>
                <w:lang w:val="en-GB"/>
              </w:rPr>
              <w:t xml:space="preserve">care was taken to ensure it is in line with the EU </w:t>
            </w:r>
            <w:r w:rsidR="00753421" w:rsidRPr="009B39EC">
              <w:rPr>
                <w:rFonts w:ascii="Arial" w:hAnsi="Arial" w:cs="Arial"/>
                <w:sz w:val="20"/>
                <w:szCs w:val="20"/>
                <w:lang w:val="en-GB"/>
              </w:rPr>
              <w:t xml:space="preserve">GAP III, </w:t>
            </w:r>
            <w:r w:rsidR="00406DF8" w:rsidRPr="009B39EC">
              <w:rPr>
                <w:rFonts w:ascii="Arial" w:hAnsi="Arial" w:cs="Arial"/>
                <w:sz w:val="20"/>
                <w:szCs w:val="20"/>
                <w:lang w:val="en-GB"/>
              </w:rPr>
              <w:t xml:space="preserve">particularly in respect of strategic goals, specific </w:t>
            </w:r>
            <w:proofErr w:type="gramStart"/>
            <w:r w:rsidR="00406DF8" w:rsidRPr="009B39EC">
              <w:rPr>
                <w:rFonts w:ascii="Arial" w:hAnsi="Arial" w:cs="Arial"/>
                <w:sz w:val="20"/>
                <w:szCs w:val="20"/>
                <w:lang w:val="en-GB"/>
              </w:rPr>
              <w:t>objectives</w:t>
            </w:r>
            <w:proofErr w:type="gramEnd"/>
            <w:r w:rsidR="00406DF8" w:rsidRPr="009B39EC">
              <w:rPr>
                <w:rFonts w:ascii="Arial" w:hAnsi="Arial" w:cs="Arial"/>
                <w:sz w:val="20"/>
                <w:szCs w:val="20"/>
                <w:lang w:val="en-GB"/>
              </w:rPr>
              <w:t xml:space="preserve"> and </w:t>
            </w:r>
            <w:r w:rsidR="001B53F2" w:rsidRPr="009B39EC">
              <w:rPr>
                <w:rFonts w:ascii="Arial" w:hAnsi="Arial" w:cs="Arial"/>
                <w:sz w:val="20"/>
                <w:szCs w:val="20"/>
                <w:lang w:val="en-GB"/>
              </w:rPr>
              <w:t>performance indicators</w:t>
            </w:r>
            <w:r w:rsidR="00753421" w:rsidRPr="009B39EC">
              <w:rPr>
                <w:rFonts w:ascii="Arial" w:hAnsi="Arial" w:cs="Arial"/>
                <w:sz w:val="20"/>
                <w:szCs w:val="20"/>
                <w:lang w:val="en-GB"/>
              </w:rPr>
              <w:t xml:space="preserve">. </w:t>
            </w:r>
            <w:r w:rsidR="001B53F2" w:rsidRPr="009B39EC">
              <w:rPr>
                <w:rFonts w:ascii="Arial" w:hAnsi="Arial" w:cs="Arial"/>
                <w:sz w:val="20"/>
                <w:szCs w:val="20"/>
                <w:lang w:val="en-GB"/>
              </w:rPr>
              <w:t>The f</w:t>
            </w:r>
            <w:r w:rsidR="008E6578" w:rsidRPr="009B39EC">
              <w:rPr>
                <w:rFonts w:ascii="Arial" w:hAnsi="Arial" w:cs="Arial"/>
                <w:sz w:val="20"/>
                <w:szCs w:val="20"/>
                <w:lang w:val="en-GB"/>
              </w:rPr>
              <w:t xml:space="preserve">unds for </w:t>
            </w:r>
            <w:r w:rsidR="001B53F2" w:rsidRPr="009B39EC">
              <w:rPr>
                <w:rFonts w:ascii="Arial" w:hAnsi="Arial" w:cs="Arial"/>
                <w:sz w:val="20"/>
                <w:szCs w:val="20"/>
                <w:lang w:val="en-GB"/>
              </w:rPr>
              <w:t xml:space="preserve">Action Plan for the implementation of the Strategy shall come from </w:t>
            </w:r>
            <w:proofErr w:type="gramStart"/>
            <w:r w:rsidR="001B53F2" w:rsidRPr="009B39EC">
              <w:rPr>
                <w:rFonts w:ascii="Arial" w:hAnsi="Arial" w:cs="Arial"/>
                <w:sz w:val="20"/>
                <w:szCs w:val="20"/>
                <w:lang w:val="en-GB"/>
              </w:rPr>
              <w:t>a number of</w:t>
            </w:r>
            <w:proofErr w:type="gramEnd"/>
            <w:r w:rsidR="001B53F2" w:rsidRPr="009B39EC">
              <w:rPr>
                <w:rFonts w:ascii="Arial" w:hAnsi="Arial" w:cs="Arial"/>
                <w:sz w:val="20"/>
                <w:szCs w:val="20"/>
                <w:lang w:val="en-GB"/>
              </w:rPr>
              <w:t xml:space="preserve"> sources, </w:t>
            </w:r>
            <w:r w:rsidR="008F7E51" w:rsidRPr="009B39EC">
              <w:rPr>
                <w:rFonts w:ascii="Arial" w:hAnsi="Arial" w:cs="Arial"/>
                <w:sz w:val="20"/>
                <w:szCs w:val="20"/>
                <w:lang w:val="en-GB"/>
              </w:rPr>
              <w:t xml:space="preserve">with the </w:t>
            </w:r>
            <w:r w:rsidR="001B53F2" w:rsidRPr="009B39EC">
              <w:rPr>
                <w:rFonts w:ascii="Arial" w:hAnsi="Arial" w:cs="Arial"/>
                <w:sz w:val="20"/>
                <w:szCs w:val="20"/>
                <w:lang w:val="en-GB"/>
              </w:rPr>
              <w:t>state budget, local self-govern</w:t>
            </w:r>
            <w:r w:rsidR="008F7E51" w:rsidRPr="009B39EC">
              <w:rPr>
                <w:rFonts w:ascii="Arial" w:hAnsi="Arial" w:cs="Arial"/>
                <w:sz w:val="20"/>
                <w:szCs w:val="20"/>
                <w:lang w:val="en-GB"/>
              </w:rPr>
              <w:t>ment funds</w:t>
            </w:r>
            <w:r w:rsidR="001B53F2" w:rsidRPr="009B39EC">
              <w:rPr>
                <w:rFonts w:ascii="Arial" w:hAnsi="Arial" w:cs="Arial"/>
                <w:sz w:val="20"/>
                <w:szCs w:val="20"/>
                <w:lang w:val="en-GB"/>
              </w:rPr>
              <w:t>, and donor support</w:t>
            </w:r>
            <w:r w:rsidR="008F7E51" w:rsidRPr="009B39EC">
              <w:rPr>
                <w:rFonts w:ascii="Arial" w:hAnsi="Arial" w:cs="Arial"/>
                <w:sz w:val="20"/>
                <w:szCs w:val="20"/>
                <w:lang w:val="en-GB"/>
              </w:rPr>
              <w:t xml:space="preserve"> remaining the three most important ones. </w:t>
            </w:r>
            <w:r w:rsidR="00322B18" w:rsidRPr="009B39EC">
              <w:rPr>
                <w:rFonts w:ascii="Arial" w:hAnsi="Arial" w:cs="Arial"/>
                <w:sz w:val="20"/>
                <w:szCs w:val="20"/>
                <w:lang w:val="en-GB"/>
              </w:rPr>
              <w:t>It is expected that in the period 2021-2030, contributions from the state budget will cover 50.5</w:t>
            </w:r>
            <w:r w:rsidR="007515B1" w:rsidRPr="009B39EC">
              <w:rPr>
                <w:rFonts w:ascii="Arial" w:hAnsi="Arial" w:cs="Arial"/>
                <w:sz w:val="20"/>
                <w:szCs w:val="20"/>
                <w:lang w:val="en-GB"/>
              </w:rPr>
              <w:t>%</w:t>
            </w:r>
            <w:r w:rsidR="00322B18" w:rsidRPr="009B39EC">
              <w:rPr>
                <w:rFonts w:ascii="Arial" w:hAnsi="Arial" w:cs="Arial"/>
                <w:sz w:val="20"/>
                <w:szCs w:val="20"/>
                <w:lang w:val="en-GB"/>
              </w:rPr>
              <w:t xml:space="preserve"> of the funds needed for the implementation of the Strategy and its </w:t>
            </w:r>
            <w:r w:rsidR="008E6578" w:rsidRPr="009B39EC">
              <w:rPr>
                <w:rFonts w:ascii="Arial" w:hAnsi="Arial" w:cs="Arial"/>
                <w:sz w:val="20"/>
                <w:szCs w:val="20"/>
                <w:lang w:val="en-GB"/>
              </w:rPr>
              <w:t>Action P</w:t>
            </w:r>
            <w:r w:rsidR="00322B18" w:rsidRPr="009B39EC">
              <w:rPr>
                <w:rFonts w:ascii="Arial" w:hAnsi="Arial" w:cs="Arial"/>
                <w:sz w:val="20"/>
                <w:szCs w:val="20"/>
                <w:lang w:val="en-GB"/>
              </w:rPr>
              <w:t>lan</w:t>
            </w:r>
            <w:r w:rsidR="008F7E51" w:rsidRPr="009B39EC">
              <w:rPr>
                <w:rFonts w:ascii="Arial" w:hAnsi="Arial" w:cs="Arial"/>
                <w:sz w:val="20"/>
                <w:szCs w:val="20"/>
                <w:lang w:val="en-GB"/>
              </w:rPr>
              <w:t xml:space="preserve">; </w:t>
            </w:r>
            <w:r w:rsidR="00753421" w:rsidRPr="009B39EC">
              <w:rPr>
                <w:rFonts w:ascii="Arial" w:hAnsi="Arial" w:cs="Arial"/>
                <w:sz w:val="20"/>
                <w:szCs w:val="20"/>
                <w:lang w:val="en-GB"/>
              </w:rPr>
              <w:t>33.9</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8E36FF" w:rsidRPr="009B39EC">
              <w:rPr>
                <w:rFonts w:ascii="Arial" w:hAnsi="Arial" w:cs="Arial"/>
                <w:sz w:val="20"/>
                <w:szCs w:val="20"/>
                <w:lang w:val="en-GB"/>
              </w:rPr>
              <w:t xml:space="preserve">is expected to be covered </w:t>
            </w:r>
            <w:r w:rsidR="008E6578" w:rsidRPr="009B39EC">
              <w:rPr>
                <w:rFonts w:ascii="Arial" w:hAnsi="Arial" w:cs="Arial"/>
                <w:sz w:val="20"/>
                <w:szCs w:val="20"/>
                <w:lang w:val="en-GB"/>
              </w:rPr>
              <w:t>from</w:t>
            </w:r>
            <w:r w:rsidR="008E36FF" w:rsidRPr="009B39EC">
              <w:rPr>
                <w:rFonts w:ascii="Arial" w:hAnsi="Arial" w:cs="Arial"/>
                <w:sz w:val="20"/>
                <w:szCs w:val="20"/>
                <w:lang w:val="en-GB"/>
              </w:rPr>
              <w:t xml:space="preserve"> other sources and donors, w</w:t>
            </w:r>
            <w:r w:rsidR="000421FD" w:rsidRPr="009B39EC">
              <w:rPr>
                <w:rFonts w:ascii="Arial" w:hAnsi="Arial" w:cs="Arial"/>
                <w:sz w:val="20"/>
                <w:szCs w:val="20"/>
                <w:lang w:val="en-GB"/>
              </w:rPr>
              <w:t xml:space="preserve">ith a funding gap of </w:t>
            </w:r>
            <w:r w:rsidR="00753421" w:rsidRPr="009B39EC">
              <w:rPr>
                <w:rFonts w:ascii="Arial" w:hAnsi="Arial" w:cs="Arial"/>
                <w:sz w:val="20"/>
                <w:szCs w:val="20"/>
                <w:lang w:val="en-GB"/>
              </w:rPr>
              <w:t>15.6</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8E36FF" w:rsidRPr="009B39EC">
              <w:rPr>
                <w:rFonts w:ascii="Arial" w:hAnsi="Arial" w:cs="Arial"/>
                <w:sz w:val="20"/>
                <w:szCs w:val="20"/>
                <w:lang w:val="en-GB"/>
              </w:rPr>
              <w:t>yet to be covered</w:t>
            </w:r>
            <w:r w:rsidR="00753421" w:rsidRPr="009B39EC">
              <w:rPr>
                <w:rFonts w:ascii="Arial" w:hAnsi="Arial" w:cs="Arial"/>
                <w:sz w:val="20"/>
                <w:szCs w:val="20"/>
                <w:lang w:val="en-GB"/>
              </w:rPr>
              <w:t xml:space="preserve">. </w:t>
            </w:r>
            <w:r w:rsidR="000421FD" w:rsidRPr="009B39EC">
              <w:rPr>
                <w:rFonts w:ascii="Arial" w:hAnsi="Arial" w:cs="Arial"/>
                <w:sz w:val="20"/>
                <w:szCs w:val="20"/>
                <w:lang w:val="en-GB"/>
              </w:rPr>
              <w:t>Current expenditure</w:t>
            </w:r>
            <w:r w:rsidR="00322B18" w:rsidRPr="009B39EC">
              <w:rPr>
                <w:rFonts w:ascii="Arial" w:hAnsi="Arial" w:cs="Arial"/>
                <w:sz w:val="20"/>
                <w:szCs w:val="20"/>
                <w:lang w:val="en-GB"/>
              </w:rPr>
              <w:t>s</w:t>
            </w:r>
            <w:r w:rsidR="000421FD" w:rsidRPr="009B39EC">
              <w:rPr>
                <w:rFonts w:ascii="Arial" w:hAnsi="Arial" w:cs="Arial"/>
                <w:sz w:val="20"/>
                <w:szCs w:val="20"/>
                <w:lang w:val="en-GB"/>
              </w:rPr>
              <w:t xml:space="preserve"> </w:t>
            </w:r>
            <w:r w:rsidR="008E6578" w:rsidRPr="009B39EC">
              <w:rPr>
                <w:rFonts w:ascii="Arial" w:hAnsi="Arial" w:cs="Arial"/>
                <w:sz w:val="20"/>
                <w:szCs w:val="20"/>
                <w:lang w:val="en-GB"/>
              </w:rPr>
              <w:t xml:space="preserve">will </w:t>
            </w:r>
            <w:r w:rsidR="000421FD" w:rsidRPr="009B39EC">
              <w:rPr>
                <w:rFonts w:ascii="Arial" w:hAnsi="Arial" w:cs="Arial"/>
                <w:sz w:val="20"/>
                <w:szCs w:val="20"/>
                <w:lang w:val="en-GB"/>
              </w:rPr>
              <w:t xml:space="preserve">comprise about </w:t>
            </w:r>
            <w:r w:rsidR="00753421" w:rsidRPr="009B39EC">
              <w:rPr>
                <w:rFonts w:ascii="Arial" w:hAnsi="Arial" w:cs="Arial"/>
                <w:sz w:val="20"/>
                <w:szCs w:val="20"/>
                <w:lang w:val="en-GB"/>
              </w:rPr>
              <w:t>80.1</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0421FD" w:rsidRPr="009B39EC">
              <w:rPr>
                <w:rFonts w:ascii="Arial" w:hAnsi="Arial" w:cs="Arial"/>
                <w:sz w:val="20"/>
                <w:szCs w:val="20"/>
                <w:lang w:val="en-GB"/>
              </w:rPr>
              <w:t>of total expenditures</w:t>
            </w:r>
            <w:r w:rsidR="00753421" w:rsidRPr="009B39EC">
              <w:rPr>
                <w:rFonts w:ascii="Arial" w:hAnsi="Arial" w:cs="Arial"/>
                <w:sz w:val="20"/>
                <w:szCs w:val="20"/>
                <w:lang w:val="en-GB"/>
              </w:rPr>
              <w:t xml:space="preserve">, </w:t>
            </w:r>
            <w:r w:rsidR="000421FD" w:rsidRPr="009B39EC">
              <w:rPr>
                <w:rFonts w:ascii="Arial" w:hAnsi="Arial" w:cs="Arial"/>
                <w:sz w:val="20"/>
                <w:szCs w:val="20"/>
                <w:lang w:val="en-GB"/>
              </w:rPr>
              <w:t>w</w:t>
            </w:r>
            <w:r w:rsidR="008E6578" w:rsidRPr="009B39EC">
              <w:rPr>
                <w:rFonts w:ascii="Arial" w:hAnsi="Arial" w:cs="Arial"/>
                <w:sz w:val="20"/>
                <w:szCs w:val="20"/>
                <w:lang w:val="en-GB"/>
              </w:rPr>
              <w:t>hile</w:t>
            </w:r>
            <w:r w:rsidR="000421FD" w:rsidRPr="009B39EC">
              <w:rPr>
                <w:rFonts w:ascii="Arial" w:hAnsi="Arial" w:cs="Arial"/>
                <w:sz w:val="20"/>
                <w:szCs w:val="20"/>
                <w:lang w:val="en-GB"/>
              </w:rPr>
              <w:t xml:space="preserve"> the r</w:t>
            </w:r>
            <w:r w:rsidR="00322B18" w:rsidRPr="009B39EC">
              <w:rPr>
                <w:rFonts w:ascii="Arial" w:hAnsi="Arial" w:cs="Arial"/>
                <w:sz w:val="20"/>
                <w:szCs w:val="20"/>
                <w:lang w:val="en-GB"/>
              </w:rPr>
              <w:t xml:space="preserve">emaining </w:t>
            </w:r>
            <w:r w:rsidR="00753421" w:rsidRPr="009B39EC">
              <w:rPr>
                <w:rFonts w:ascii="Arial" w:hAnsi="Arial" w:cs="Arial"/>
                <w:sz w:val="20"/>
                <w:szCs w:val="20"/>
                <w:lang w:val="en-GB"/>
              </w:rPr>
              <w:t>19.9</w:t>
            </w:r>
            <w:r w:rsidR="007515B1" w:rsidRPr="009B39EC">
              <w:rPr>
                <w:rFonts w:ascii="Arial" w:hAnsi="Arial" w:cs="Arial"/>
                <w:sz w:val="20"/>
                <w:szCs w:val="20"/>
                <w:lang w:val="en-GB"/>
              </w:rPr>
              <w:t>%</w:t>
            </w:r>
            <w:r w:rsidR="000421FD" w:rsidRPr="009B39EC">
              <w:rPr>
                <w:rFonts w:ascii="Arial" w:hAnsi="Arial" w:cs="Arial"/>
                <w:sz w:val="20"/>
                <w:szCs w:val="20"/>
                <w:lang w:val="en-GB"/>
              </w:rPr>
              <w:t xml:space="preserve"> </w:t>
            </w:r>
            <w:r w:rsidR="00322B18" w:rsidRPr="009B39EC">
              <w:rPr>
                <w:rFonts w:ascii="Arial" w:hAnsi="Arial" w:cs="Arial"/>
                <w:sz w:val="20"/>
                <w:szCs w:val="20"/>
                <w:lang w:val="en-GB"/>
              </w:rPr>
              <w:t>will go towards</w:t>
            </w:r>
            <w:r w:rsidR="000421FD" w:rsidRPr="009B39EC">
              <w:rPr>
                <w:rFonts w:ascii="Arial" w:hAnsi="Arial" w:cs="Arial"/>
                <w:sz w:val="20"/>
                <w:szCs w:val="20"/>
                <w:lang w:val="en-GB"/>
              </w:rPr>
              <w:t xml:space="preserve"> capital expenditures</w:t>
            </w:r>
            <w:r w:rsidR="00753421" w:rsidRPr="009B39EC">
              <w:rPr>
                <w:rFonts w:ascii="Arial" w:hAnsi="Arial" w:cs="Arial"/>
                <w:sz w:val="20"/>
                <w:szCs w:val="20"/>
                <w:lang w:val="en-GB"/>
              </w:rPr>
              <w:t xml:space="preserve">. </w:t>
            </w:r>
            <w:r w:rsidR="00322B18" w:rsidRPr="009B39EC">
              <w:rPr>
                <w:rFonts w:ascii="Arial" w:hAnsi="Arial" w:cs="Arial"/>
                <w:sz w:val="20"/>
                <w:szCs w:val="20"/>
                <w:lang w:val="en-GB"/>
              </w:rPr>
              <w:t xml:space="preserve">In financial terms, Policy Goal III (reduction of GBV &amp; DV), is expected to </w:t>
            </w:r>
            <w:r w:rsidR="006E2A70" w:rsidRPr="009B39EC">
              <w:rPr>
                <w:rFonts w:ascii="Arial" w:hAnsi="Arial" w:cs="Arial"/>
                <w:sz w:val="20"/>
                <w:szCs w:val="20"/>
                <w:lang w:val="en-GB"/>
              </w:rPr>
              <w:t>receive the largest amount of funds</w:t>
            </w:r>
            <w:r w:rsidR="00322B18" w:rsidRPr="009B39EC">
              <w:rPr>
                <w:rFonts w:ascii="Arial" w:hAnsi="Arial" w:cs="Arial"/>
                <w:sz w:val="20"/>
                <w:szCs w:val="20"/>
                <w:lang w:val="en-GB"/>
              </w:rPr>
              <w:t xml:space="preserve"> </w:t>
            </w:r>
            <w:r w:rsidR="006E2A70" w:rsidRPr="009B39EC">
              <w:rPr>
                <w:rFonts w:ascii="Arial" w:hAnsi="Arial" w:cs="Arial"/>
                <w:sz w:val="20"/>
                <w:szCs w:val="20"/>
                <w:lang w:val="en-GB"/>
              </w:rPr>
              <w:t>in the strategy implementation</w:t>
            </w:r>
            <w:r w:rsidR="00322B18" w:rsidRPr="009B39EC">
              <w:rPr>
                <w:rFonts w:ascii="Arial" w:hAnsi="Arial" w:cs="Arial"/>
                <w:sz w:val="20"/>
                <w:szCs w:val="20"/>
                <w:lang w:val="en-GB"/>
              </w:rPr>
              <w:t>, namely 63.8</w:t>
            </w:r>
            <w:r w:rsidR="007515B1" w:rsidRPr="009B39EC">
              <w:rPr>
                <w:rFonts w:ascii="Arial" w:hAnsi="Arial" w:cs="Arial"/>
                <w:sz w:val="20"/>
                <w:szCs w:val="20"/>
                <w:lang w:val="en-GB"/>
              </w:rPr>
              <w:t>%</w:t>
            </w:r>
            <w:r w:rsidR="006E2A70" w:rsidRPr="009B39EC">
              <w:rPr>
                <w:rFonts w:ascii="Arial" w:hAnsi="Arial" w:cs="Arial"/>
                <w:sz w:val="20"/>
                <w:szCs w:val="20"/>
                <w:lang w:val="en-GB"/>
              </w:rPr>
              <w:t xml:space="preserve"> of the total; with </w:t>
            </w:r>
            <w:r w:rsidR="009B74C6" w:rsidRPr="009B39EC">
              <w:rPr>
                <w:rFonts w:ascii="Arial" w:hAnsi="Arial" w:cs="Arial"/>
                <w:sz w:val="20"/>
                <w:szCs w:val="20"/>
                <w:lang w:val="en-GB"/>
              </w:rPr>
              <w:t>Policy Goal</w:t>
            </w:r>
            <w:r w:rsidR="00753421" w:rsidRPr="009B39EC">
              <w:rPr>
                <w:rFonts w:ascii="Arial" w:hAnsi="Arial" w:cs="Arial"/>
                <w:sz w:val="20"/>
                <w:szCs w:val="20"/>
                <w:lang w:val="en-GB"/>
              </w:rPr>
              <w:t xml:space="preserve"> I (</w:t>
            </w:r>
            <w:r w:rsidR="009B74C6" w:rsidRPr="009B39EC">
              <w:rPr>
                <w:rFonts w:ascii="Arial" w:hAnsi="Arial" w:cs="Arial"/>
                <w:sz w:val="20"/>
                <w:szCs w:val="20"/>
                <w:lang w:val="en-GB"/>
              </w:rPr>
              <w:t>socio-economic rights</w:t>
            </w:r>
            <w:r w:rsidR="00753421" w:rsidRPr="009B39EC">
              <w:rPr>
                <w:rFonts w:ascii="Arial" w:hAnsi="Arial" w:cs="Arial"/>
                <w:sz w:val="20"/>
                <w:szCs w:val="20"/>
                <w:lang w:val="en-GB"/>
              </w:rPr>
              <w:t xml:space="preserve">) </w:t>
            </w:r>
            <w:r w:rsidR="006E2A70" w:rsidRPr="009B39EC">
              <w:rPr>
                <w:rFonts w:ascii="Arial" w:hAnsi="Arial" w:cs="Arial"/>
                <w:sz w:val="20"/>
                <w:szCs w:val="20"/>
                <w:lang w:val="en-GB"/>
              </w:rPr>
              <w:t>at</w:t>
            </w:r>
            <w:r w:rsidR="00E55450" w:rsidRPr="009B39EC">
              <w:rPr>
                <w:rFonts w:ascii="Arial" w:hAnsi="Arial" w:cs="Arial"/>
                <w:sz w:val="20"/>
                <w:szCs w:val="20"/>
                <w:lang w:val="en-GB"/>
              </w:rPr>
              <w:t xml:space="preserve"> </w:t>
            </w:r>
            <w:r w:rsidR="00753421" w:rsidRPr="009B39EC">
              <w:rPr>
                <w:rFonts w:ascii="Arial" w:hAnsi="Arial" w:cs="Arial"/>
                <w:sz w:val="20"/>
                <w:szCs w:val="20"/>
                <w:lang w:val="en-GB"/>
              </w:rPr>
              <w:t>21.3</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6E2A70" w:rsidRPr="009B39EC">
              <w:rPr>
                <w:rFonts w:ascii="Arial" w:hAnsi="Arial" w:cs="Arial"/>
                <w:sz w:val="20"/>
                <w:szCs w:val="20"/>
                <w:lang w:val="en-GB"/>
              </w:rPr>
              <w:t>and</w:t>
            </w:r>
            <w:r w:rsidR="00E55450" w:rsidRPr="009B39EC">
              <w:rPr>
                <w:rFonts w:ascii="Arial" w:hAnsi="Arial" w:cs="Arial"/>
                <w:sz w:val="20"/>
                <w:szCs w:val="20"/>
                <w:lang w:val="en-GB"/>
              </w:rPr>
              <w:t xml:space="preserve"> Policy Goals </w:t>
            </w:r>
            <w:r w:rsidR="00753421" w:rsidRPr="009B39EC">
              <w:rPr>
                <w:rFonts w:ascii="Arial" w:hAnsi="Arial" w:cs="Arial"/>
                <w:sz w:val="20"/>
                <w:szCs w:val="20"/>
                <w:lang w:val="en-GB"/>
              </w:rPr>
              <w:t>IV (</w:t>
            </w:r>
            <w:r w:rsidR="00E55450" w:rsidRPr="009B39EC">
              <w:rPr>
                <w:rFonts w:ascii="Arial" w:hAnsi="Arial" w:cs="Arial"/>
                <w:sz w:val="20"/>
                <w:szCs w:val="20"/>
                <w:lang w:val="en-GB"/>
              </w:rPr>
              <w:t>gender mainstreaming</w:t>
            </w:r>
            <w:r w:rsidR="00753421" w:rsidRPr="009B39EC">
              <w:rPr>
                <w:rFonts w:ascii="Arial" w:hAnsi="Arial" w:cs="Arial"/>
                <w:sz w:val="20"/>
                <w:szCs w:val="20"/>
                <w:lang w:val="en-GB"/>
              </w:rPr>
              <w:t xml:space="preserve">) </w:t>
            </w:r>
            <w:r w:rsidR="00E55450" w:rsidRPr="009B39EC">
              <w:rPr>
                <w:rFonts w:ascii="Arial" w:hAnsi="Arial" w:cs="Arial"/>
                <w:sz w:val="20"/>
                <w:szCs w:val="20"/>
                <w:lang w:val="en-GB"/>
              </w:rPr>
              <w:t>and</w:t>
            </w:r>
            <w:r w:rsidR="00753421" w:rsidRPr="009B39EC">
              <w:rPr>
                <w:rFonts w:ascii="Arial" w:hAnsi="Arial" w:cs="Arial"/>
                <w:sz w:val="20"/>
                <w:szCs w:val="20"/>
                <w:lang w:val="en-GB"/>
              </w:rPr>
              <w:t xml:space="preserve"> II (</w:t>
            </w:r>
            <w:r w:rsidR="00E55450" w:rsidRPr="009B39EC">
              <w:rPr>
                <w:rFonts w:ascii="Arial" w:hAnsi="Arial" w:cs="Arial"/>
                <w:sz w:val="20"/>
                <w:szCs w:val="20"/>
                <w:lang w:val="en-GB"/>
              </w:rPr>
              <w:t>political and public decision making</w:t>
            </w:r>
            <w:r w:rsidR="00753421" w:rsidRPr="009B39EC">
              <w:rPr>
                <w:rFonts w:ascii="Arial" w:hAnsi="Arial" w:cs="Arial"/>
                <w:sz w:val="20"/>
                <w:szCs w:val="20"/>
                <w:lang w:val="en-GB"/>
              </w:rPr>
              <w:t>) 11.9</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E55450" w:rsidRPr="009B39EC">
              <w:rPr>
                <w:rFonts w:ascii="Arial" w:hAnsi="Arial" w:cs="Arial"/>
                <w:sz w:val="20"/>
                <w:szCs w:val="20"/>
                <w:lang w:val="en-GB"/>
              </w:rPr>
              <w:t>and</w:t>
            </w:r>
            <w:r w:rsidR="00753421" w:rsidRPr="009B39EC">
              <w:rPr>
                <w:rFonts w:ascii="Arial" w:hAnsi="Arial" w:cs="Arial"/>
                <w:sz w:val="20"/>
                <w:szCs w:val="20"/>
                <w:lang w:val="en-GB"/>
              </w:rPr>
              <w:t xml:space="preserve"> 2.9</w:t>
            </w:r>
            <w:r w:rsidR="007515B1" w:rsidRPr="009B39EC">
              <w:rPr>
                <w:rFonts w:ascii="Arial" w:hAnsi="Arial" w:cs="Arial"/>
                <w:sz w:val="20"/>
                <w:szCs w:val="20"/>
                <w:lang w:val="en-GB"/>
              </w:rPr>
              <w:t>%</w:t>
            </w:r>
            <w:r w:rsidR="00C44D4C" w:rsidRPr="009B39EC">
              <w:rPr>
                <w:rFonts w:ascii="Arial" w:hAnsi="Arial" w:cs="Arial"/>
                <w:sz w:val="20"/>
                <w:szCs w:val="20"/>
                <w:lang w:val="en-GB"/>
              </w:rPr>
              <w:t xml:space="preserve"> respectively</w:t>
            </w:r>
            <w:r w:rsidR="00753421" w:rsidRPr="009B39EC">
              <w:rPr>
                <w:rFonts w:ascii="Arial" w:hAnsi="Arial" w:cs="Arial"/>
                <w:sz w:val="20"/>
                <w:szCs w:val="20"/>
                <w:lang w:val="en-GB"/>
              </w:rPr>
              <w:t xml:space="preserve">. </w:t>
            </w:r>
            <w:r w:rsidR="00E55450" w:rsidRPr="009B39EC">
              <w:rPr>
                <w:rFonts w:ascii="Arial" w:hAnsi="Arial" w:cs="Arial"/>
                <w:sz w:val="20"/>
                <w:szCs w:val="20"/>
                <w:lang w:val="en-GB"/>
              </w:rPr>
              <w:t xml:space="preserve">The Strategy will undergo a </w:t>
            </w:r>
            <w:r w:rsidR="006E2A70" w:rsidRPr="009B39EC">
              <w:rPr>
                <w:rFonts w:ascii="Arial" w:hAnsi="Arial" w:cs="Arial"/>
                <w:sz w:val="20"/>
                <w:szCs w:val="20"/>
                <w:lang w:val="en-GB"/>
              </w:rPr>
              <w:t xml:space="preserve">medium-term </w:t>
            </w:r>
            <w:r w:rsidR="00E55450" w:rsidRPr="009B39EC">
              <w:rPr>
                <w:rFonts w:ascii="Arial" w:hAnsi="Arial" w:cs="Arial"/>
                <w:sz w:val="20"/>
                <w:szCs w:val="20"/>
                <w:lang w:val="en-GB"/>
              </w:rPr>
              <w:t xml:space="preserve">review process in five </w:t>
            </w:r>
            <w:r w:rsidR="00445CB5" w:rsidRPr="009B39EC">
              <w:rPr>
                <w:rFonts w:ascii="Arial" w:hAnsi="Arial" w:cs="Arial"/>
                <w:sz w:val="20"/>
                <w:szCs w:val="20"/>
                <w:lang w:val="en-GB"/>
              </w:rPr>
              <w:t>years’ time</w:t>
            </w:r>
            <w:r w:rsidR="00753421" w:rsidRPr="009B39EC">
              <w:rPr>
                <w:rFonts w:ascii="Arial" w:hAnsi="Arial" w:cs="Arial"/>
                <w:sz w:val="20"/>
                <w:szCs w:val="20"/>
                <w:lang w:val="en-GB"/>
              </w:rPr>
              <w:t xml:space="preserve"> (</w:t>
            </w:r>
            <w:r w:rsidR="00E55450" w:rsidRPr="009B39EC">
              <w:rPr>
                <w:rFonts w:ascii="Arial" w:hAnsi="Arial" w:cs="Arial"/>
                <w:sz w:val="20"/>
                <w:szCs w:val="20"/>
                <w:lang w:val="en-GB"/>
              </w:rPr>
              <w:t>in</w:t>
            </w:r>
            <w:r w:rsidR="00753421" w:rsidRPr="009B39EC">
              <w:rPr>
                <w:rFonts w:ascii="Arial" w:hAnsi="Arial" w:cs="Arial"/>
                <w:sz w:val="20"/>
                <w:szCs w:val="20"/>
                <w:lang w:val="en-GB"/>
              </w:rPr>
              <w:t xml:space="preserve"> 2025)</w:t>
            </w:r>
            <w:r w:rsidR="006E2A70" w:rsidRPr="009B39EC">
              <w:rPr>
                <w:rFonts w:ascii="Arial" w:hAnsi="Arial" w:cs="Arial"/>
                <w:sz w:val="20"/>
                <w:szCs w:val="20"/>
                <w:lang w:val="en-GB"/>
              </w:rPr>
              <w:t>,</w:t>
            </w:r>
            <w:r w:rsidR="00753421" w:rsidRPr="009B39EC">
              <w:rPr>
                <w:rFonts w:ascii="Arial" w:hAnsi="Arial" w:cs="Arial"/>
                <w:sz w:val="20"/>
                <w:szCs w:val="20"/>
                <w:lang w:val="en-GB"/>
              </w:rPr>
              <w:t xml:space="preserve"> </w:t>
            </w:r>
            <w:proofErr w:type="gramStart"/>
            <w:r w:rsidR="00E55450" w:rsidRPr="009B39EC">
              <w:rPr>
                <w:rFonts w:ascii="Arial" w:hAnsi="Arial" w:cs="Arial"/>
                <w:sz w:val="20"/>
                <w:szCs w:val="20"/>
                <w:lang w:val="en-GB"/>
              </w:rPr>
              <w:t>in order to</w:t>
            </w:r>
            <w:proofErr w:type="gramEnd"/>
            <w:r w:rsidR="00E55450" w:rsidRPr="009B39EC">
              <w:rPr>
                <w:rFonts w:ascii="Arial" w:hAnsi="Arial" w:cs="Arial"/>
                <w:sz w:val="20"/>
                <w:szCs w:val="20"/>
                <w:lang w:val="en-GB"/>
              </w:rPr>
              <w:t xml:space="preserve"> </w:t>
            </w:r>
            <w:r w:rsidR="006E2A70" w:rsidRPr="009B39EC">
              <w:rPr>
                <w:rFonts w:ascii="Arial" w:hAnsi="Arial" w:cs="Arial"/>
                <w:sz w:val="20"/>
                <w:szCs w:val="20"/>
                <w:lang w:val="en-GB"/>
              </w:rPr>
              <w:t xml:space="preserve">take stock of </w:t>
            </w:r>
            <w:r w:rsidR="00E55450" w:rsidRPr="009B39EC">
              <w:rPr>
                <w:rFonts w:ascii="Arial" w:hAnsi="Arial" w:cs="Arial"/>
                <w:sz w:val="20"/>
                <w:szCs w:val="20"/>
                <w:lang w:val="en-GB"/>
              </w:rPr>
              <w:lastRenderedPageBreak/>
              <w:t xml:space="preserve">the progress made </w:t>
            </w:r>
            <w:r w:rsidR="00C44D4C" w:rsidRPr="009B39EC">
              <w:rPr>
                <w:rFonts w:ascii="Arial" w:hAnsi="Arial" w:cs="Arial"/>
                <w:sz w:val="20"/>
                <w:szCs w:val="20"/>
                <w:lang w:val="en-GB"/>
              </w:rPr>
              <w:t>in</w:t>
            </w:r>
            <w:r w:rsidR="00E55450" w:rsidRPr="009B39EC">
              <w:rPr>
                <w:rFonts w:ascii="Arial" w:hAnsi="Arial" w:cs="Arial"/>
                <w:sz w:val="20"/>
                <w:szCs w:val="20"/>
                <w:lang w:val="en-GB"/>
              </w:rPr>
              <w:t xml:space="preserve"> the implementation of </w:t>
            </w:r>
            <w:r w:rsidR="00C44D4C" w:rsidRPr="009B39EC">
              <w:rPr>
                <w:rFonts w:ascii="Arial" w:hAnsi="Arial" w:cs="Arial"/>
                <w:sz w:val="20"/>
                <w:szCs w:val="20"/>
                <w:lang w:val="en-GB"/>
              </w:rPr>
              <w:t xml:space="preserve">the </w:t>
            </w:r>
            <w:r w:rsidR="00E55450" w:rsidRPr="009B39EC">
              <w:rPr>
                <w:rFonts w:ascii="Arial" w:hAnsi="Arial" w:cs="Arial"/>
                <w:sz w:val="20"/>
                <w:szCs w:val="20"/>
                <w:lang w:val="en-GB"/>
              </w:rPr>
              <w:t>measures a</w:t>
            </w:r>
            <w:r w:rsidR="006E2A70" w:rsidRPr="009B39EC">
              <w:rPr>
                <w:rFonts w:ascii="Arial" w:hAnsi="Arial" w:cs="Arial"/>
                <w:sz w:val="20"/>
                <w:szCs w:val="20"/>
                <w:lang w:val="en-GB"/>
              </w:rPr>
              <w:t>nd</w:t>
            </w:r>
            <w:r w:rsidR="002B0E41" w:rsidRPr="009B39EC">
              <w:rPr>
                <w:rFonts w:ascii="Arial" w:hAnsi="Arial" w:cs="Arial"/>
                <w:sz w:val="20"/>
                <w:szCs w:val="20"/>
                <w:lang w:val="en-GB"/>
              </w:rPr>
              <w:t xml:space="preserve"> </w:t>
            </w:r>
            <w:r w:rsidR="00E55450" w:rsidRPr="009B39EC">
              <w:rPr>
                <w:rFonts w:ascii="Arial" w:hAnsi="Arial" w:cs="Arial"/>
                <w:sz w:val="20"/>
                <w:szCs w:val="20"/>
                <w:lang w:val="en-GB"/>
              </w:rPr>
              <w:t xml:space="preserve">update it in </w:t>
            </w:r>
            <w:r w:rsidR="00057B67" w:rsidRPr="009B39EC">
              <w:rPr>
                <w:rFonts w:ascii="Arial" w:hAnsi="Arial" w:cs="Arial"/>
                <w:sz w:val="20"/>
                <w:szCs w:val="20"/>
                <w:lang w:val="en-GB"/>
              </w:rPr>
              <w:t>accordance with</w:t>
            </w:r>
            <w:r w:rsidR="00E55450" w:rsidRPr="009B39EC">
              <w:rPr>
                <w:rFonts w:ascii="Arial" w:hAnsi="Arial" w:cs="Arial"/>
                <w:sz w:val="20"/>
                <w:szCs w:val="20"/>
                <w:lang w:val="en-GB"/>
              </w:rPr>
              <w:t xml:space="preserve"> </w:t>
            </w:r>
            <w:r w:rsidR="006E2A70" w:rsidRPr="009B39EC">
              <w:rPr>
                <w:rFonts w:ascii="Arial" w:hAnsi="Arial" w:cs="Arial"/>
                <w:sz w:val="20"/>
                <w:szCs w:val="20"/>
                <w:lang w:val="en-GB"/>
              </w:rPr>
              <w:t xml:space="preserve">emerging </w:t>
            </w:r>
            <w:r w:rsidR="00E55450" w:rsidRPr="009B39EC">
              <w:rPr>
                <w:rFonts w:ascii="Arial" w:hAnsi="Arial" w:cs="Arial"/>
                <w:sz w:val="20"/>
                <w:szCs w:val="20"/>
                <w:lang w:val="en-GB"/>
              </w:rPr>
              <w:t xml:space="preserve">needs </w:t>
            </w:r>
            <w:r w:rsidR="00057B67" w:rsidRPr="009B39EC">
              <w:rPr>
                <w:rFonts w:ascii="Arial" w:hAnsi="Arial" w:cs="Arial"/>
                <w:sz w:val="20"/>
                <w:szCs w:val="20"/>
                <w:lang w:val="en-GB"/>
              </w:rPr>
              <w:t>a</w:t>
            </w:r>
            <w:r w:rsidR="00E55450" w:rsidRPr="009B39EC">
              <w:rPr>
                <w:rFonts w:ascii="Arial" w:hAnsi="Arial" w:cs="Arial"/>
                <w:sz w:val="20"/>
                <w:szCs w:val="20"/>
                <w:lang w:val="en-GB"/>
              </w:rPr>
              <w:t xml:space="preserve">nd </w:t>
            </w:r>
            <w:r w:rsidR="00057B67" w:rsidRPr="009B39EC">
              <w:rPr>
                <w:rFonts w:ascii="Arial" w:hAnsi="Arial" w:cs="Arial"/>
                <w:sz w:val="20"/>
                <w:szCs w:val="20"/>
                <w:lang w:val="en-GB"/>
              </w:rPr>
              <w:t>medium-term budgeta</w:t>
            </w:r>
            <w:r w:rsidR="006E2A70" w:rsidRPr="009B39EC">
              <w:rPr>
                <w:rFonts w:ascii="Arial" w:hAnsi="Arial" w:cs="Arial"/>
                <w:sz w:val="20"/>
                <w:szCs w:val="20"/>
                <w:lang w:val="en-GB"/>
              </w:rPr>
              <w:t>ry</w:t>
            </w:r>
            <w:r w:rsidR="00057B67" w:rsidRPr="009B39EC">
              <w:rPr>
                <w:rFonts w:ascii="Arial" w:hAnsi="Arial" w:cs="Arial"/>
                <w:sz w:val="20"/>
                <w:szCs w:val="20"/>
                <w:lang w:val="en-GB"/>
              </w:rPr>
              <w:t xml:space="preserve"> programmes of each institution for 2026-2028</w:t>
            </w:r>
            <w:r w:rsidR="00753421" w:rsidRPr="009B39EC">
              <w:rPr>
                <w:rFonts w:ascii="Arial" w:hAnsi="Arial" w:cs="Arial"/>
                <w:sz w:val="20"/>
                <w:szCs w:val="20"/>
                <w:lang w:val="en-GB"/>
              </w:rPr>
              <w:t xml:space="preserve">. </w:t>
            </w:r>
            <w:r w:rsidR="006E2A70" w:rsidRPr="009B39EC">
              <w:rPr>
                <w:rFonts w:ascii="Arial" w:hAnsi="Arial" w:cs="Arial"/>
                <w:sz w:val="20"/>
                <w:szCs w:val="20"/>
                <w:lang w:val="en-GB"/>
              </w:rPr>
              <w:t>In relation to</w:t>
            </w:r>
            <w:r w:rsidR="002B0E41" w:rsidRPr="009B39EC">
              <w:rPr>
                <w:rFonts w:ascii="Arial" w:hAnsi="Arial" w:cs="Arial"/>
                <w:sz w:val="20"/>
                <w:szCs w:val="20"/>
                <w:lang w:val="en-GB"/>
              </w:rPr>
              <w:t xml:space="preserve"> the </w:t>
            </w:r>
            <w:r w:rsidR="006E2A70" w:rsidRPr="009B39EC">
              <w:rPr>
                <w:rFonts w:ascii="Arial" w:hAnsi="Arial" w:cs="Arial"/>
                <w:sz w:val="20"/>
                <w:szCs w:val="20"/>
                <w:lang w:val="en-GB"/>
              </w:rPr>
              <w:t xml:space="preserve">aspects of the </w:t>
            </w:r>
            <w:r w:rsidR="00C44D4C" w:rsidRPr="009B39EC">
              <w:rPr>
                <w:rFonts w:ascii="Arial" w:hAnsi="Arial" w:cs="Arial"/>
                <w:sz w:val="20"/>
                <w:szCs w:val="20"/>
                <w:lang w:val="en-GB"/>
              </w:rPr>
              <w:t xml:space="preserve">strategy </w:t>
            </w:r>
            <w:r w:rsidR="002B0E41" w:rsidRPr="009B39EC">
              <w:rPr>
                <w:rFonts w:ascii="Arial" w:hAnsi="Arial" w:cs="Arial"/>
                <w:sz w:val="20"/>
                <w:szCs w:val="20"/>
                <w:lang w:val="en-GB"/>
              </w:rPr>
              <w:t xml:space="preserve">yet </w:t>
            </w:r>
            <w:r w:rsidR="006E2A70" w:rsidRPr="009B39EC">
              <w:rPr>
                <w:rFonts w:ascii="Arial" w:hAnsi="Arial" w:cs="Arial"/>
                <w:sz w:val="20"/>
                <w:szCs w:val="20"/>
                <w:lang w:val="en-GB"/>
              </w:rPr>
              <w:t>to be covered with funds</w:t>
            </w:r>
            <w:r w:rsidR="002B0E41" w:rsidRPr="009B39EC">
              <w:rPr>
                <w:rFonts w:ascii="Arial" w:hAnsi="Arial" w:cs="Arial"/>
                <w:sz w:val="20"/>
                <w:szCs w:val="20"/>
                <w:lang w:val="en-GB"/>
              </w:rPr>
              <w:t>, the responsible institutions will budget for those needs as part of their respective budget</w:t>
            </w:r>
            <w:r w:rsidR="006E2A70" w:rsidRPr="009B39EC">
              <w:rPr>
                <w:rFonts w:ascii="Arial" w:hAnsi="Arial" w:cs="Arial"/>
                <w:sz w:val="20"/>
                <w:szCs w:val="20"/>
                <w:lang w:val="en-GB"/>
              </w:rPr>
              <w:t>ary</w:t>
            </w:r>
            <w:r w:rsidR="002B0E41" w:rsidRPr="009B39EC">
              <w:rPr>
                <w:rFonts w:ascii="Arial" w:hAnsi="Arial" w:cs="Arial"/>
                <w:sz w:val="20"/>
                <w:szCs w:val="20"/>
                <w:lang w:val="en-GB"/>
              </w:rPr>
              <w:t xml:space="preserve"> programmes in the framework of their medium-term and annual budget programme </w:t>
            </w:r>
            <w:r w:rsidR="00846A69" w:rsidRPr="009B39EC">
              <w:rPr>
                <w:rFonts w:ascii="Arial" w:hAnsi="Arial" w:cs="Arial"/>
                <w:sz w:val="20"/>
                <w:szCs w:val="20"/>
                <w:lang w:val="en-GB"/>
              </w:rPr>
              <w:t>processes and</w:t>
            </w:r>
            <w:r w:rsidR="006E2A70" w:rsidRPr="009B39EC">
              <w:rPr>
                <w:rFonts w:ascii="Arial" w:hAnsi="Arial" w:cs="Arial"/>
                <w:sz w:val="20"/>
                <w:szCs w:val="20"/>
                <w:lang w:val="en-GB"/>
              </w:rPr>
              <w:t xml:space="preserve"> will</w:t>
            </w:r>
            <w:r w:rsidR="002B0E41" w:rsidRPr="009B39EC">
              <w:rPr>
                <w:rFonts w:ascii="Arial" w:hAnsi="Arial" w:cs="Arial"/>
                <w:sz w:val="20"/>
                <w:szCs w:val="20"/>
                <w:lang w:val="en-GB"/>
              </w:rPr>
              <w:t xml:space="preserve"> negotiate with various donors for the co-financing of certain activities</w:t>
            </w:r>
            <w:r w:rsidR="00753421" w:rsidRPr="009B39EC">
              <w:rPr>
                <w:rFonts w:ascii="Arial" w:hAnsi="Arial" w:cs="Arial"/>
                <w:sz w:val="20"/>
                <w:szCs w:val="20"/>
                <w:lang w:val="en-GB"/>
              </w:rPr>
              <w:t>.</w:t>
            </w:r>
          </w:p>
          <w:p w14:paraId="5519FD40" w14:textId="77777777" w:rsidR="002B0E41" w:rsidRPr="009B39EC" w:rsidRDefault="002B0E41" w:rsidP="00753421">
            <w:pPr>
              <w:jc w:val="both"/>
              <w:rPr>
                <w:rFonts w:ascii="Arial" w:hAnsi="Arial" w:cs="Arial"/>
                <w:sz w:val="20"/>
                <w:szCs w:val="20"/>
                <w:lang w:val="en-GB"/>
              </w:rPr>
            </w:pPr>
          </w:p>
          <w:p w14:paraId="74C1BAB5" w14:textId="6259A6E4" w:rsidR="00753421" w:rsidRPr="009B39EC" w:rsidRDefault="002B0E41" w:rsidP="00753421">
            <w:pPr>
              <w:jc w:val="both"/>
              <w:rPr>
                <w:rFonts w:ascii="Arial" w:hAnsi="Arial" w:cs="Arial"/>
                <w:sz w:val="20"/>
                <w:szCs w:val="20"/>
                <w:lang w:val="en-GB"/>
              </w:rPr>
            </w:pPr>
            <w:r w:rsidRPr="009B39EC">
              <w:rPr>
                <w:rFonts w:ascii="Arial" w:hAnsi="Arial" w:cs="Arial"/>
                <w:sz w:val="20"/>
                <w:szCs w:val="20"/>
                <w:lang w:val="en-GB"/>
              </w:rPr>
              <w:t xml:space="preserve">The </w:t>
            </w:r>
            <w:r w:rsidR="00A74B10" w:rsidRPr="009B39EC">
              <w:rPr>
                <w:rFonts w:ascii="Arial" w:hAnsi="Arial" w:cs="Arial"/>
                <w:sz w:val="20"/>
                <w:szCs w:val="20"/>
                <w:lang w:val="en-GB"/>
              </w:rPr>
              <w:t xml:space="preserve">drafting of </w:t>
            </w:r>
            <w:r w:rsidR="006E2A70" w:rsidRPr="009B39EC">
              <w:rPr>
                <w:rFonts w:ascii="Arial" w:hAnsi="Arial" w:cs="Arial"/>
                <w:sz w:val="20"/>
                <w:szCs w:val="20"/>
                <w:lang w:val="en-GB"/>
              </w:rPr>
              <w:t xml:space="preserve">2021-2030 </w:t>
            </w:r>
            <w:r w:rsidR="00716A25" w:rsidRPr="009B39EC">
              <w:rPr>
                <w:rFonts w:ascii="Arial" w:hAnsi="Arial" w:cs="Arial"/>
                <w:sz w:val="20"/>
                <w:szCs w:val="20"/>
                <w:lang w:val="en-GB"/>
              </w:rPr>
              <w:t>NSGE</w:t>
            </w:r>
            <w:r w:rsidR="00753421" w:rsidRPr="009B39EC">
              <w:rPr>
                <w:rFonts w:ascii="Arial" w:hAnsi="Arial" w:cs="Arial"/>
                <w:sz w:val="20"/>
                <w:szCs w:val="20"/>
                <w:lang w:val="en-GB"/>
              </w:rPr>
              <w:t xml:space="preserve"> </w:t>
            </w:r>
            <w:r w:rsidR="006E2A70" w:rsidRPr="009B39EC">
              <w:rPr>
                <w:rFonts w:ascii="Arial" w:hAnsi="Arial" w:cs="Arial"/>
                <w:sz w:val="20"/>
                <w:szCs w:val="20"/>
                <w:lang w:val="en-GB"/>
              </w:rPr>
              <w:t xml:space="preserve">is also </w:t>
            </w:r>
            <w:r w:rsidR="00846A69" w:rsidRPr="009B39EC">
              <w:rPr>
                <w:rFonts w:ascii="Arial" w:hAnsi="Arial" w:cs="Arial"/>
                <w:sz w:val="20"/>
                <w:szCs w:val="20"/>
                <w:lang w:val="en-GB"/>
              </w:rPr>
              <w:t>underpinned</w:t>
            </w:r>
            <w:r w:rsidR="006E2A70" w:rsidRPr="009B39EC">
              <w:rPr>
                <w:rFonts w:ascii="Arial" w:hAnsi="Arial" w:cs="Arial"/>
                <w:sz w:val="20"/>
                <w:szCs w:val="20"/>
                <w:lang w:val="en-GB"/>
              </w:rPr>
              <w:t xml:space="preserve"> by the</w:t>
            </w:r>
            <w:r w:rsidR="00A74B10" w:rsidRPr="009B39EC">
              <w:rPr>
                <w:rFonts w:ascii="Arial" w:hAnsi="Arial" w:cs="Arial"/>
                <w:sz w:val="20"/>
                <w:szCs w:val="20"/>
                <w:lang w:val="en-GB"/>
              </w:rPr>
              <w:t xml:space="preserve"> findings and </w:t>
            </w:r>
            <w:r w:rsidR="00445CB5" w:rsidRPr="009B39EC">
              <w:rPr>
                <w:rFonts w:ascii="Arial" w:hAnsi="Arial" w:cs="Arial"/>
                <w:sz w:val="20"/>
                <w:szCs w:val="20"/>
                <w:lang w:val="en-GB"/>
              </w:rPr>
              <w:t>recommendations</w:t>
            </w:r>
            <w:r w:rsidR="00A74B10" w:rsidRPr="009B39EC">
              <w:rPr>
                <w:rFonts w:ascii="Arial" w:hAnsi="Arial" w:cs="Arial"/>
                <w:sz w:val="20"/>
                <w:szCs w:val="20"/>
                <w:lang w:val="en-GB"/>
              </w:rPr>
              <w:t xml:space="preserve"> contained in</w:t>
            </w:r>
            <w:r w:rsidR="00753421" w:rsidRPr="009B39EC">
              <w:rPr>
                <w:rFonts w:ascii="Arial" w:hAnsi="Arial" w:cs="Arial"/>
                <w:sz w:val="20"/>
                <w:szCs w:val="20"/>
                <w:lang w:val="en-GB"/>
              </w:rPr>
              <w:t xml:space="preserve"> </w:t>
            </w:r>
            <w:r w:rsidR="00753421" w:rsidRPr="009B39EC">
              <w:rPr>
                <w:rFonts w:ascii="Arial" w:hAnsi="Arial" w:cs="Arial"/>
                <w:b/>
                <w:bCs/>
                <w:sz w:val="20"/>
                <w:szCs w:val="20"/>
                <w:lang w:val="en-GB"/>
              </w:rPr>
              <w:t>“</w:t>
            </w:r>
            <w:r w:rsidR="00A74B10" w:rsidRPr="009B39EC">
              <w:rPr>
                <w:rFonts w:ascii="Arial" w:hAnsi="Arial" w:cs="Arial"/>
                <w:b/>
                <w:bCs/>
                <w:sz w:val="20"/>
                <w:szCs w:val="20"/>
                <w:lang w:val="en-GB"/>
              </w:rPr>
              <w:t>Evaluation Report: Implementation of the National Strategy on Gender Equality and its Action Plan</w:t>
            </w:r>
            <w:r w:rsidR="00753421" w:rsidRPr="009B39EC">
              <w:rPr>
                <w:rFonts w:ascii="Arial" w:hAnsi="Arial" w:cs="Arial"/>
                <w:b/>
                <w:bCs/>
                <w:sz w:val="20"/>
                <w:szCs w:val="20"/>
                <w:lang w:val="en-GB"/>
              </w:rPr>
              <w:t xml:space="preserve"> 2016</w:t>
            </w:r>
            <w:r w:rsidR="00A74B10" w:rsidRPr="009B39EC">
              <w:rPr>
                <w:rFonts w:ascii="Arial" w:hAnsi="Arial" w:cs="Arial"/>
                <w:b/>
                <w:bCs/>
                <w:sz w:val="20"/>
                <w:szCs w:val="20"/>
                <w:lang w:val="en-GB"/>
              </w:rPr>
              <w:t>-</w:t>
            </w:r>
            <w:r w:rsidR="00753421" w:rsidRPr="009B39EC">
              <w:rPr>
                <w:rFonts w:ascii="Arial" w:hAnsi="Arial" w:cs="Arial"/>
                <w:b/>
                <w:bCs/>
                <w:sz w:val="20"/>
                <w:szCs w:val="20"/>
                <w:lang w:val="en-GB"/>
              </w:rPr>
              <w:t>2020”.</w:t>
            </w:r>
            <w:r w:rsidR="00753421" w:rsidRPr="009B39EC">
              <w:rPr>
                <w:rFonts w:ascii="Arial" w:hAnsi="Arial" w:cs="Arial"/>
                <w:sz w:val="20"/>
                <w:szCs w:val="20"/>
                <w:lang w:val="en-GB"/>
              </w:rPr>
              <w:t xml:space="preserve">  </w:t>
            </w:r>
            <w:r w:rsidR="00A74B10" w:rsidRPr="009B39EC">
              <w:rPr>
                <w:rFonts w:ascii="Arial" w:hAnsi="Arial" w:cs="Arial"/>
                <w:sz w:val="20"/>
                <w:szCs w:val="20"/>
                <w:lang w:val="en-GB"/>
              </w:rPr>
              <w:t xml:space="preserve">This evaluation was carried out </w:t>
            </w:r>
            <w:r w:rsidR="00D1315B" w:rsidRPr="009B39EC">
              <w:rPr>
                <w:rFonts w:ascii="Arial" w:hAnsi="Arial" w:cs="Arial"/>
                <w:sz w:val="20"/>
                <w:szCs w:val="20"/>
                <w:lang w:val="en-GB"/>
              </w:rPr>
              <w:t xml:space="preserve">in the course of </w:t>
            </w:r>
            <w:r w:rsidR="00A74B10" w:rsidRPr="009B39EC">
              <w:rPr>
                <w:rFonts w:ascii="Arial" w:hAnsi="Arial" w:cs="Arial"/>
                <w:sz w:val="20"/>
                <w:szCs w:val="20"/>
                <w:lang w:val="en-GB"/>
              </w:rPr>
              <w:t>2020 by the</w:t>
            </w:r>
            <w:r w:rsidR="00753421" w:rsidRPr="009B39EC">
              <w:rPr>
                <w:rFonts w:ascii="Arial" w:hAnsi="Arial" w:cs="Arial"/>
                <w:sz w:val="20"/>
                <w:szCs w:val="20"/>
                <w:lang w:val="en-GB"/>
              </w:rPr>
              <w:t xml:space="preserve"> </w:t>
            </w:r>
            <w:r w:rsidR="004056CA" w:rsidRPr="009B39EC">
              <w:rPr>
                <w:rFonts w:ascii="Arial" w:hAnsi="Arial" w:cs="Arial"/>
                <w:sz w:val="20"/>
                <w:szCs w:val="20"/>
                <w:lang w:val="en-GB"/>
              </w:rPr>
              <w:t>Ministry of Health and Social Protection</w:t>
            </w:r>
            <w:r w:rsidR="00A74B10" w:rsidRPr="009B39EC">
              <w:rPr>
                <w:rFonts w:ascii="Arial" w:hAnsi="Arial" w:cs="Arial"/>
                <w:sz w:val="20"/>
                <w:szCs w:val="20"/>
                <w:lang w:val="en-GB"/>
              </w:rPr>
              <w:t xml:space="preserve">, on behalf of the Albanian Government, with </w:t>
            </w:r>
            <w:r w:rsidR="00D1315B" w:rsidRPr="009B39EC">
              <w:rPr>
                <w:rFonts w:ascii="Arial" w:hAnsi="Arial" w:cs="Arial"/>
                <w:sz w:val="20"/>
                <w:szCs w:val="20"/>
                <w:lang w:val="en-GB"/>
              </w:rPr>
              <w:t xml:space="preserve">the </w:t>
            </w:r>
            <w:r w:rsidR="00A74B10" w:rsidRPr="009B39EC">
              <w:rPr>
                <w:rFonts w:ascii="Arial" w:hAnsi="Arial" w:cs="Arial"/>
                <w:sz w:val="20"/>
                <w:szCs w:val="20"/>
                <w:lang w:val="en-GB"/>
              </w:rPr>
              <w:t xml:space="preserve">support and technical expertise </w:t>
            </w:r>
            <w:r w:rsidR="00D1315B" w:rsidRPr="009B39EC">
              <w:rPr>
                <w:rFonts w:ascii="Arial" w:hAnsi="Arial" w:cs="Arial"/>
                <w:sz w:val="20"/>
                <w:szCs w:val="20"/>
                <w:lang w:val="en-GB"/>
              </w:rPr>
              <w:t>provided by</w:t>
            </w:r>
            <w:r w:rsidR="00A74B10" w:rsidRPr="009B39EC">
              <w:rPr>
                <w:rFonts w:ascii="Arial" w:hAnsi="Arial" w:cs="Arial"/>
                <w:sz w:val="20"/>
                <w:szCs w:val="20"/>
                <w:lang w:val="en-GB"/>
              </w:rPr>
              <w:t xml:space="preserve"> </w:t>
            </w:r>
            <w:r w:rsidR="00753421" w:rsidRPr="009B39EC">
              <w:rPr>
                <w:rFonts w:ascii="Arial" w:hAnsi="Arial" w:cs="Arial"/>
                <w:sz w:val="20"/>
                <w:szCs w:val="20"/>
                <w:lang w:val="en-GB"/>
              </w:rPr>
              <w:t xml:space="preserve">UN </w:t>
            </w:r>
            <w:r w:rsidR="004E1005" w:rsidRPr="009B39EC">
              <w:rPr>
                <w:rFonts w:ascii="Arial" w:hAnsi="Arial" w:cs="Arial"/>
                <w:sz w:val="20"/>
                <w:szCs w:val="20"/>
                <w:lang w:val="en-GB"/>
              </w:rPr>
              <w:t>W</w:t>
            </w:r>
            <w:r w:rsidR="00753421" w:rsidRPr="009B39EC">
              <w:rPr>
                <w:rFonts w:ascii="Arial" w:hAnsi="Arial" w:cs="Arial"/>
                <w:sz w:val="20"/>
                <w:szCs w:val="20"/>
                <w:lang w:val="en-GB"/>
              </w:rPr>
              <w:t>omen</w:t>
            </w:r>
            <w:r w:rsidR="00A74B10" w:rsidRPr="009B39EC">
              <w:rPr>
                <w:rFonts w:ascii="Arial" w:hAnsi="Arial" w:cs="Arial"/>
                <w:sz w:val="20"/>
                <w:szCs w:val="20"/>
                <w:lang w:val="en-GB"/>
              </w:rPr>
              <w:t xml:space="preserve"> Albania</w:t>
            </w:r>
            <w:r w:rsidR="00753421" w:rsidRPr="009B39EC">
              <w:rPr>
                <w:rFonts w:ascii="Arial" w:hAnsi="Arial" w:cs="Arial"/>
                <w:sz w:val="20"/>
                <w:szCs w:val="20"/>
                <w:lang w:val="en-GB"/>
              </w:rPr>
              <w:t xml:space="preserve">. </w:t>
            </w:r>
            <w:proofErr w:type="gramStart"/>
            <w:r w:rsidR="00D1315B" w:rsidRPr="009B39EC">
              <w:rPr>
                <w:rFonts w:ascii="Arial" w:hAnsi="Arial" w:cs="Arial"/>
                <w:sz w:val="20"/>
                <w:szCs w:val="20"/>
                <w:lang w:val="en-GB"/>
              </w:rPr>
              <w:t xml:space="preserve">Following this </w:t>
            </w:r>
            <w:r w:rsidR="00A74B10" w:rsidRPr="009B39EC">
              <w:rPr>
                <w:rFonts w:ascii="Arial" w:hAnsi="Arial" w:cs="Arial"/>
                <w:sz w:val="20"/>
                <w:szCs w:val="20"/>
                <w:lang w:val="en-GB"/>
              </w:rPr>
              <w:t xml:space="preserve">evaluation </w:t>
            </w:r>
            <w:r w:rsidR="00D1315B" w:rsidRPr="009B39EC">
              <w:rPr>
                <w:rFonts w:ascii="Arial" w:hAnsi="Arial" w:cs="Arial"/>
                <w:sz w:val="20"/>
                <w:szCs w:val="20"/>
                <w:lang w:val="en-GB"/>
              </w:rPr>
              <w:t xml:space="preserve">process and </w:t>
            </w:r>
            <w:r w:rsidR="00A74B10" w:rsidRPr="009B39EC">
              <w:rPr>
                <w:rFonts w:ascii="Arial" w:hAnsi="Arial" w:cs="Arial"/>
                <w:sz w:val="20"/>
                <w:szCs w:val="20"/>
                <w:lang w:val="en-GB"/>
              </w:rPr>
              <w:t>the measurement of previously defined indicators</w:t>
            </w:r>
            <w:r w:rsidR="00D1315B" w:rsidRPr="009B39EC">
              <w:rPr>
                <w:rFonts w:ascii="Arial" w:hAnsi="Arial" w:cs="Arial"/>
                <w:sz w:val="20"/>
                <w:szCs w:val="20"/>
                <w:lang w:val="en-GB"/>
              </w:rPr>
              <w:t>, it</w:t>
            </w:r>
            <w:proofErr w:type="gramEnd"/>
            <w:r w:rsidR="00D1315B" w:rsidRPr="009B39EC">
              <w:rPr>
                <w:rFonts w:ascii="Arial" w:hAnsi="Arial" w:cs="Arial"/>
                <w:sz w:val="20"/>
                <w:szCs w:val="20"/>
                <w:lang w:val="en-GB"/>
              </w:rPr>
              <w:t xml:space="preserve"> was concluded t</w:t>
            </w:r>
            <w:r w:rsidR="005F07B7" w:rsidRPr="009B39EC">
              <w:rPr>
                <w:rFonts w:ascii="Arial" w:hAnsi="Arial" w:cs="Arial"/>
                <w:sz w:val="20"/>
                <w:szCs w:val="20"/>
                <w:lang w:val="en-GB"/>
              </w:rPr>
              <w:t>hat the Strategy implementation rate was</w:t>
            </w:r>
            <w:r w:rsidR="00D1315B" w:rsidRPr="009B39EC">
              <w:rPr>
                <w:rFonts w:ascii="Arial" w:hAnsi="Arial" w:cs="Arial"/>
                <w:sz w:val="20"/>
                <w:szCs w:val="20"/>
                <w:lang w:val="en-GB"/>
              </w:rPr>
              <w:t xml:space="preserve"> </w:t>
            </w:r>
            <w:r w:rsidR="00753421" w:rsidRPr="009B39EC">
              <w:rPr>
                <w:rFonts w:ascii="Arial" w:hAnsi="Arial" w:cs="Arial"/>
                <w:sz w:val="20"/>
                <w:szCs w:val="20"/>
                <w:lang w:val="en-GB"/>
              </w:rPr>
              <w:t>80</w:t>
            </w:r>
            <w:r w:rsidR="007515B1" w:rsidRPr="009B39EC">
              <w:rPr>
                <w:rFonts w:ascii="Arial" w:hAnsi="Arial" w:cs="Arial"/>
                <w:sz w:val="20"/>
                <w:szCs w:val="20"/>
                <w:lang w:val="en-GB"/>
              </w:rPr>
              <w:t>%</w:t>
            </w:r>
            <w:r w:rsidR="005F07B7" w:rsidRPr="009B39EC">
              <w:rPr>
                <w:rFonts w:ascii="Arial" w:hAnsi="Arial" w:cs="Arial"/>
                <w:sz w:val="20"/>
                <w:szCs w:val="20"/>
                <w:lang w:val="en-GB"/>
              </w:rPr>
              <w:t xml:space="preserve">, with numerous meaningful </w:t>
            </w:r>
            <w:r w:rsidR="0063214B" w:rsidRPr="009B39EC">
              <w:rPr>
                <w:rFonts w:ascii="Arial" w:hAnsi="Arial" w:cs="Arial"/>
                <w:sz w:val="20"/>
                <w:szCs w:val="20"/>
                <w:lang w:val="en-GB"/>
              </w:rPr>
              <w:t xml:space="preserve">achievements </w:t>
            </w:r>
            <w:r w:rsidR="00D1315B" w:rsidRPr="009B39EC">
              <w:rPr>
                <w:rFonts w:ascii="Arial" w:hAnsi="Arial" w:cs="Arial"/>
                <w:sz w:val="20"/>
                <w:szCs w:val="20"/>
                <w:lang w:val="en-GB"/>
              </w:rPr>
              <w:t>ma</w:t>
            </w:r>
            <w:r w:rsidR="005F07B7" w:rsidRPr="009B39EC">
              <w:rPr>
                <w:rFonts w:ascii="Arial" w:hAnsi="Arial" w:cs="Arial"/>
                <w:sz w:val="20"/>
                <w:szCs w:val="20"/>
                <w:lang w:val="en-GB"/>
              </w:rPr>
              <w:t>de</w:t>
            </w:r>
            <w:r w:rsidR="00D1315B" w:rsidRPr="009B39EC">
              <w:rPr>
                <w:rFonts w:ascii="Arial" w:hAnsi="Arial" w:cs="Arial"/>
                <w:sz w:val="20"/>
                <w:szCs w:val="20"/>
                <w:lang w:val="en-GB"/>
              </w:rPr>
              <w:t xml:space="preserve"> in </w:t>
            </w:r>
            <w:r w:rsidR="0063214B" w:rsidRPr="009B39EC">
              <w:rPr>
                <w:rFonts w:ascii="Arial" w:hAnsi="Arial" w:cs="Arial"/>
                <w:sz w:val="20"/>
                <w:szCs w:val="20"/>
                <w:lang w:val="en-GB"/>
              </w:rPr>
              <w:t xml:space="preserve">the areas of women empowerment, progress towards gender equality and reduction of violence against women and domestic violence. More concretely, </w:t>
            </w:r>
            <w:r w:rsidR="00445CB5" w:rsidRPr="009B39EC">
              <w:rPr>
                <w:rFonts w:ascii="Arial" w:hAnsi="Arial" w:cs="Arial"/>
                <w:sz w:val="20"/>
                <w:szCs w:val="20"/>
                <w:lang w:val="en-GB"/>
              </w:rPr>
              <w:t>Strategic</w:t>
            </w:r>
            <w:r w:rsidR="0063214B" w:rsidRPr="009B39EC">
              <w:rPr>
                <w:rFonts w:ascii="Arial" w:hAnsi="Arial" w:cs="Arial"/>
                <w:sz w:val="20"/>
                <w:szCs w:val="20"/>
                <w:lang w:val="en-GB"/>
              </w:rPr>
              <w:t xml:space="preserve"> Goal</w:t>
            </w:r>
            <w:r w:rsidR="00753421" w:rsidRPr="009B39EC">
              <w:rPr>
                <w:rFonts w:ascii="Arial" w:hAnsi="Arial" w:cs="Arial"/>
                <w:sz w:val="20"/>
                <w:szCs w:val="20"/>
                <w:lang w:val="en-GB"/>
              </w:rPr>
              <w:t xml:space="preserve"> 1: </w:t>
            </w:r>
            <w:r w:rsidR="0063214B" w:rsidRPr="009B39EC">
              <w:rPr>
                <w:rFonts w:ascii="Arial" w:hAnsi="Arial" w:cs="Arial"/>
                <w:sz w:val="20"/>
                <w:szCs w:val="20"/>
                <w:lang w:val="en-GB"/>
              </w:rPr>
              <w:t>Economic empowermen</w:t>
            </w:r>
            <w:r w:rsidR="0052525C" w:rsidRPr="009B39EC">
              <w:rPr>
                <w:rFonts w:ascii="Arial" w:hAnsi="Arial" w:cs="Arial"/>
                <w:sz w:val="20"/>
                <w:szCs w:val="20"/>
                <w:lang w:val="en-GB"/>
              </w:rPr>
              <w:t>t</w:t>
            </w:r>
            <w:r w:rsidR="0063214B" w:rsidRPr="009B39EC">
              <w:rPr>
                <w:rFonts w:ascii="Arial" w:hAnsi="Arial" w:cs="Arial"/>
                <w:sz w:val="20"/>
                <w:szCs w:val="20"/>
                <w:lang w:val="en-GB"/>
              </w:rPr>
              <w:t xml:space="preserve"> of women and men was realised </w:t>
            </w:r>
            <w:r w:rsidR="00753421" w:rsidRPr="009B39EC">
              <w:rPr>
                <w:rFonts w:ascii="Arial" w:hAnsi="Arial" w:cs="Arial"/>
                <w:sz w:val="20"/>
                <w:szCs w:val="20"/>
                <w:lang w:val="en-GB"/>
              </w:rPr>
              <w:t>74.7</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52525C" w:rsidRPr="009B39EC">
              <w:rPr>
                <w:rFonts w:ascii="Arial" w:hAnsi="Arial" w:cs="Arial"/>
                <w:sz w:val="20"/>
                <w:szCs w:val="20"/>
                <w:lang w:val="en-GB"/>
              </w:rPr>
              <w:t>Strategic Goal</w:t>
            </w:r>
            <w:r w:rsidR="00753421" w:rsidRPr="009B39EC">
              <w:rPr>
                <w:rFonts w:ascii="Arial" w:hAnsi="Arial" w:cs="Arial"/>
                <w:sz w:val="20"/>
                <w:szCs w:val="20"/>
                <w:lang w:val="en-GB"/>
              </w:rPr>
              <w:t xml:space="preserve"> 2: </w:t>
            </w:r>
            <w:r w:rsidR="0052525C" w:rsidRPr="009B39EC">
              <w:rPr>
                <w:rFonts w:ascii="Arial" w:hAnsi="Arial" w:cs="Arial"/>
                <w:sz w:val="20"/>
                <w:szCs w:val="20"/>
                <w:lang w:val="en-GB"/>
              </w:rPr>
              <w:t>Ensuring meaningful and equal participation of women in political and public decision-making:</w:t>
            </w:r>
            <w:r w:rsidR="00753421" w:rsidRPr="009B39EC">
              <w:rPr>
                <w:rFonts w:ascii="Arial" w:hAnsi="Arial" w:cs="Arial"/>
                <w:sz w:val="20"/>
                <w:szCs w:val="20"/>
                <w:lang w:val="en-GB"/>
              </w:rPr>
              <w:t xml:space="preserve"> 75.57</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52525C" w:rsidRPr="009B39EC">
              <w:rPr>
                <w:rFonts w:ascii="Arial" w:hAnsi="Arial" w:cs="Arial"/>
                <w:sz w:val="20"/>
                <w:szCs w:val="20"/>
                <w:lang w:val="en-GB"/>
              </w:rPr>
              <w:t>Strategic Goal</w:t>
            </w:r>
            <w:r w:rsidR="00753421" w:rsidRPr="009B39EC">
              <w:rPr>
                <w:rFonts w:ascii="Arial" w:hAnsi="Arial" w:cs="Arial"/>
                <w:sz w:val="20"/>
                <w:szCs w:val="20"/>
                <w:lang w:val="en-GB"/>
              </w:rPr>
              <w:t xml:space="preserve"> 3: Redu</w:t>
            </w:r>
            <w:r w:rsidR="0052525C" w:rsidRPr="009B39EC">
              <w:rPr>
                <w:rFonts w:ascii="Arial" w:hAnsi="Arial" w:cs="Arial"/>
                <w:sz w:val="20"/>
                <w:szCs w:val="20"/>
                <w:lang w:val="en-GB"/>
              </w:rPr>
              <w:t>ction of gender-based violence and domestic violence:</w:t>
            </w:r>
            <w:r w:rsidR="00753421" w:rsidRPr="009B39EC">
              <w:rPr>
                <w:rFonts w:ascii="Arial" w:hAnsi="Arial" w:cs="Arial"/>
                <w:sz w:val="20"/>
                <w:szCs w:val="20"/>
                <w:lang w:val="en-GB"/>
              </w:rPr>
              <w:t xml:space="preserve"> 84.8</w:t>
            </w:r>
            <w:r w:rsidR="007515B1" w:rsidRPr="009B39EC">
              <w:rPr>
                <w:rFonts w:ascii="Arial" w:hAnsi="Arial" w:cs="Arial"/>
                <w:sz w:val="20"/>
                <w:szCs w:val="20"/>
                <w:lang w:val="en-GB"/>
              </w:rPr>
              <w:t>%</w:t>
            </w:r>
            <w:r w:rsidR="00753421" w:rsidRPr="009B39EC">
              <w:rPr>
                <w:rFonts w:ascii="Arial" w:hAnsi="Arial" w:cs="Arial"/>
                <w:sz w:val="20"/>
                <w:szCs w:val="20"/>
                <w:lang w:val="en-GB"/>
              </w:rPr>
              <w:t xml:space="preserve"> </w:t>
            </w:r>
            <w:r w:rsidR="0052525C" w:rsidRPr="009B39EC">
              <w:rPr>
                <w:rFonts w:ascii="Arial" w:hAnsi="Arial" w:cs="Arial"/>
                <w:sz w:val="20"/>
                <w:szCs w:val="20"/>
                <w:lang w:val="en-GB"/>
              </w:rPr>
              <w:t>and</w:t>
            </w:r>
            <w:r w:rsidR="00753421" w:rsidRPr="009B39EC">
              <w:rPr>
                <w:rFonts w:ascii="Arial" w:hAnsi="Arial" w:cs="Arial"/>
                <w:sz w:val="20"/>
                <w:szCs w:val="20"/>
                <w:lang w:val="en-GB"/>
              </w:rPr>
              <w:t xml:space="preserve"> </w:t>
            </w:r>
            <w:r w:rsidR="0052525C" w:rsidRPr="009B39EC">
              <w:rPr>
                <w:rFonts w:ascii="Arial" w:hAnsi="Arial" w:cs="Arial"/>
                <w:sz w:val="20"/>
                <w:szCs w:val="20"/>
                <w:lang w:val="en-GB"/>
              </w:rPr>
              <w:t>Strategic Goal</w:t>
            </w:r>
            <w:r w:rsidR="00753421" w:rsidRPr="009B39EC">
              <w:rPr>
                <w:rFonts w:ascii="Arial" w:hAnsi="Arial" w:cs="Arial"/>
                <w:sz w:val="20"/>
                <w:szCs w:val="20"/>
                <w:lang w:val="en-GB"/>
              </w:rPr>
              <w:t xml:space="preserve"> 4: </w:t>
            </w:r>
            <w:r w:rsidR="00445CB5" w:rsidRPr="009B39EC">
              <w:rPr>
                <w:rFonts w:ascii="Arial" w:hAnsi="Arial" w:cs="Arial"/>
                <w:sz w:val="20"/>
                <w:szCs w:val="20"/>
                <w:lang w:val="en-GB"/>
              </w:rPr>
              <w:t>Strengthening</w:t>
            </w:r>
            <w:r w:rsidR="0052525C" w:rsidRPr="009B39EC">
              <w:rPr>
                <w:rFonts w:ascii="Arial" w:hAnsi="Arial" w:cs="Arial"/>
                <w:sz w:val="20"/>
                <w:szCs w:val="20"/>
                <w:lang w:val="en-GB"/>
              </w:rPr>
              <w:t xml:space="preserve"> of the coordination and monitoring role of the National Mechanism for Gender Equality</w:t>
            </w:r>
            <w:r w:rsidR="00753421" w:rsidRPr="009B39EC">
              <w:rPr>
                <w:rFonts w:ascii="Arial" w:hAnsi="Arial" w:cs="Arial"/>
                <w:sz w:val="20"/>
                <w:szCs w:val="20"/>
                <w:lang w:val="en-GB"/>
              </w:rPr>
              <w:t xml:space="preserve">, </w:t>
            </w:r>
            <w:r w:rsidR="0052525C" w:rsidRPr="009B39EC">
              <w:rPr>
                <w:rFonts w:ascii="Arial" w:hAnsi="Arial" w:cs="Arial"/>
                <w:sz w:val="20"/>
                <w:szCs w:val="20"/>
                <w:lang w:val="en-GB"/>
              </w:rPr>
              <w:t>and raising awareness in the society regarding the advancement of gender equality:</w:t>
            </w:r>
            <w:r w:rsidR="00753421" w:rsidRPr="009B39EC">
              <w:rPr>
                <w:rFonts w:ascii="Arial" w:hAnsi="Arial" w:cs="Arial"/>
                <w:sz w:val="20"/>
                <w:szCs w:val="20"/>
                <w:lang w:val="en-GB"/>
              </w:rPr>
              <w:t xml:space="preserve"> 81.25</w:t>
            </w:r>
            <w:r w:rsidR="007515B1" w:rsidRPr="009B39EC">
              <w:rPr>
                <w:rFonts w:ascii="Arial" w:hAnsi="Arial" w:cs="Arial"/>
                <w:sz w:val="20"/>
                <w:szCs w:val="20"/>
                <w:lang w:val="en-GB"/>
              </w:rPr>
              <w:t>%</w:t>
            </w:r>
            <w:r w:rsidR="00753421" w:rsidRPr="009B39EC">
              <w:rPr>
                <w:rFonts w:ascii="Arial" w:hAnsi="Arial" w:cs="Arial"/>
                <w:sz w:val="20"/>
                <w:szCs w:val="20"/>
                <w:lang w:val="en-GB"/>
              </w:rPr>
              <w:t>.</w:t>
            </w:r>
            <w:r w:rsidR="006F3364" w:rsidRPr="009B39EC">
              <w:rPr>
                <w:rFonts w:ascii="Arial" w:hAnsi="Arial" w:cs="Arial"/>
                <w:sz w:val="20"/>
                <w:szCs w:val="20"/>
                <w:lang w:val="en-GB"/>
              </w:rPr>
              <w:t xml:space="preserve"> </w:t>
            </w:r>
            <w:r w:rsidR="00753421" w:rsidRPr="009B39EC">
              <w:rPr>
                <w:rFonts w:ascii="Arial" w:hAnsi="Arial" w:cs="Arial"/>
                <w:sz w:val="20"/>
                <w:szCs w:val="20"/>
                <w:lang w:val="en-GB"/>
              </w:rPr>
              <w:t>(</w:t>
            </w:r>
            <w:r w:rsidR="006F3364" w:rsidRPr="009B39EC">
              <w:rPr>
                <w:rFonts w:ascii="Arial" w:hAnsi="Arial" w:cs="Arial"/>
                <w:sz w:val="20"/>
                <w:szCs w:val="20"/>
                <w:lang w:val="en-GB"/>
              </w:rPr>
              <w:t>M</w:t>
            </w:r>
            <w:r w:rsidR="0052525C" w:rsidRPr="009B39EC">
              <w:rPr>
                <w:rFonts w:ascii="Arial" w:hAnsi="Arial" w:cs="Arial"/>
                <w:sz w:val="20"/>
                <w:szCs w:val="20"/>
                <w:lang w:val="en-GB"/>
              </w:rPr>
              <w:t xml:space="preserve">ore detailed information from the evaluation provided in the chart contained in Annex </w:t>
            </w:r>
            <w:r w:rsidR="004E1005" w:rsidRPr="009B39EC">
              <w:rPr>
                <w:rFonts w:ascii="Arial" w:hAnsi="Arial" w:cs="Arial"/>
                <w:sz w:val="20"/>
                <w:szCs w:val="20"/>
                <w:lang w:val="en-GB"/>
              </w:rPr>
              <w:t>2</w:t>
            </w:r>
            <w:r w:rsidR="00753421" w:rsidRPr="009B39EC">
              <w:rPr>
                <w:rFonts w:ascii="Arial" w:hAnsi="Arial" w:cs="Arial"/>
                <w:sz w:val="20"/>
                <w:szCs w:val="20"/>
                <w:lang w:val="en-GB"/>
              </w:rPr>
              <w:t>)</w:t>
            </w:r>
          </w:p>
          <w:p w14:paraId="4FC3A1DE" w14:textId="773B30FB" w:rsidR="00753421" w:rsidRPr="009B39EC" w:rsidRDefault="00753421" w:rsidP="00DC5A7D">
            <w:pPr>
              <w:jc w:val="both"/>
              <w:rPr>
                <w:rFonts w:ascii="Arial" w:hAnsi="Arial" w:cs="Arial"/>
                <w:sz w:val="20"/>
                <w:szCs w:val="20"/>
                <w:lang w:val="en-GB"/>
              </w:rPr>
            </w:pPr>
          </w:p>
        </w:tc>
      </w:tr>
      <w:tr w:rsidR="00DC5A7D" w:rsidRPr="009B39EC" w14:paraId="2C8BC2A7" w14:textId="77777777" w:rsidTr="00CD0E91">
        <w:tc>
          <w:tcPr>
            <w:tcW w:w="5000" w:type="pct"/>
            <w:gridSpan w:val="4"/>
          </w:tcPr>
          <w:p w14:paraId="01EA4F27" w14:textId="77777777" w:rsidR="00DC5A7D" w:rsidRPr="009B39EC" w:rsidRDefault="00DC5A7D" w:rsidP="00DC5A7D">
            <w:pPr>
              <w:pStyle w:val="NoSpacing"/>
              <w:ind w:left="1080"/>
              <w:jc w:val="both"/>
              <w:rPr>
                <w:rFonts w:ascii="Arial" w:hAnsi="Arial" w:cs="Arial"/>
                <w:b/>
                <w:bCs/>
                <w:sz w:val="20"/>
                <w:szCs w:val="20"/>
                <w:lang w:val="en-GB"/>
              </w:rPr>
            </w:pPr>
          </w:p>
          <w:p w14:paraId="66E311D0" w14:textId="6662BA06" w:rsidR="00DC5A7D" w:rsidRPr="009B39EC" w:rsidRDefault="007927FD" w:rsidP="000A55FC">
            <w:pPr>
              <w:pStyle w:val="NoSpacing"/>
              <w:numPr>
                <w:ilvl w:val="0"/>
                <w:numId w:val="3"/>
              </w:numPr>
              <w:jc w:val="both"/>
              <w:rPr>
                <w:rFonts w:ascii="Arial" w:hAnsi="Arial" w:cs="Arial"/>
                <w:b/>
                <w:bCs/>
                <w:sz w:val="20"/>
                <w:szCs w:val="20"/>
                <w:lang w:val="en-GB"/>
              </w:rPr>
            </w:pPr>
            <w:r w:rsidRPr="009B39EC">
              <w:rPr>
                <w:rFonts w:ascii="Arial" w:hAnsi="Arial" w:cs="Arial"/>
                <w:b/>
                <w:bCs/>
                <w:sz w:val="20"/>
                <w:szCs w:val="20"/>
                <w:lang w:val="en-GB"/>
              </w:rPr>
              <w:t>Financial resources</w:t>
            </w:r>
            <w:r w:rsidR="000A55FC" w:rsidRPr="009B39EC">
              <w:rPr>
                <w:rFonts w:ascii="Arial" w:hAnsi="Arial" w:cs="Arial"/>
                <w:b/>
                <w:bCs/>
                <w:sz w:val="20"/>
                <w:szCs w:val="20"/>
                <w:lang w:val="en-GB"/>
              </w:rPr>
              <w:t xml:space="preserve"> (</w:t>
            </w:r>
            <w:r w:rsidRPr="009B39EC">
              <w:rPr>
                <w:rFonts w:ascii="Arial" w:hAnsi="Arial" w:cs="Arial"/>
                <w:b/>
                <w:bCs/>
                <w:sz w:val="20"/>
                <w:szCs w:val="20"/>
                <w:lang w:val="en-GB"/>
              </w:rPr>
              <w:t xml:space="preserve">Article </w:t>
            </w:r>
            <w:r w:rsidR="000A55FC" w:rsidRPr="009B39EC">
              <w:rPr>
                <w:rFonts w:ascii="Arial" w:hAnsi="Arial" w:cs="Arial"/>
                <w:b/>
                <w:bCs/>
                <w:sz w:val="20"/>
                <w:szCs w:val="20"/>
                <w:lang w:val="en-GB"/>
              </w:rPr>
              <w:t>8)</w:t>
            </w:r>
          </w:p>
          <w:p w14:paraId="21394153" w14:textId="72E218EC" w:rsidR="000A55FC" w:rsidRPr="009B39EC" w:rsidRDefault="000A55FC" w:rsidP="000A55FC">
            <w:pPr>
              <w:pStyle w:val="NoSpacing"/>
              <w:ind w:left="1080"/>
              <w:jc w:val="both"/>
              <w:rPr>
                <w:rFonts w:ascii="Arial" w:hAnsi="Arial" w:cs="Arial"/>
                <w:b/>
                <w:bCs/>
                <w:sz w:val="20"/>
                <w:szCs w:val="20"/>
                <w:lang w:val="en-GB"/>
              </w:rPr>
            </w:pPr>
          </w:p>
        </w:tc>
      </w:tr>
      <w:tr w:rsidR="00DC5A7D" w:rsidRPr="009B39EC" w14:paraId="2D6D7467" w14:textId="77777777" w:rsidTr="00047815">
        <w:trPr>
          <w:trHeight w:val="276"/>
        </w:trPr>
        <w:tc>
          <w:tcPr>
            <w:tcW w:w="216" w:type="pct"/>
            <w:vMerge w:val="restart"/>
          </w:tcPr>
          <w:p w14:paraId="08B74EAC"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12</w:t>
            </w:r>
          </w:p>
        </w:tc>
        <w:tc>
          <w:tcPr>
            <w:tcW w:w="3497" w:type="pct"/>
          </w:tcPr>
          <w:p w14:paraId="7B51D354" w14:textId="35392867" w:rsidR="00DC5A7D" w:rsidRPr="009B39EC" w:rsidRDefault="007927FD" w:rsidP="00DC5A7D">
            <w:pPr>
              <w:pStyle w:val="NoSpacing"/>
              <w:jc w:val="both"/>
              <w:rPr>
                <w:rFonts w:ascii="Arial" w:hAnsi="Arial" w:cs="Arial"/>
                <w:sz w:val="20"/>
                <w:szCs w:val="20"/>
                <w:lang w:val="en-GB"/>
              </w:rPr>
            </w:pPr>
            <w:r w:rsidRPr="009B39EC">
              <w:rPr>
                <w:rFonts w:ascii="Arial" w:hAnsi="Arial" w:cs="Arial"/>
                <w:sz w:val="20"/>
                <w:szCs w:val="20"/>
                <w:lang w:val="en-GB"/>
              </w:rPr>
              <w:t>Have your authorities allocated specific funds at the</w:t>
            </w:r>
          </w:p>
        </w:tc>
        <w:tc>
          <w:tcPr>
            <w:tcW w:w="800" w:type="pct"/>
          </w:tcPr>
          <w:p w14:paraId="0D253C39" w14:textId="77777777" w:rsidR="00DC5A7D" w:rsidRPr="009B39EC" w:rsidRDefault="00DC5A7D" w:rsidP="00DC5A7D">
            <w:pPr>
              <w:jc w:val="both"/>
              <w:rPr>
                <w:rFonts w:ascii="Arial" w:hAnsi="Arial" w:cs="Arial"/>
                <w:sz w:val="20"/>
                <w:szCs w:val="20"/>
                <w:lang w:val="en-GB"/>
              </w:rPr>
            </w:pPr>
          </w:p>
        </w:tc>
        <w:tc>
          <w:tcPr>
            <w:tcW w:w="487" w:type="pct"/>
          </w:tcPr>
          <w:p w14:paraId="6884102D" w14:textId="77777777" w:rsidR="00DC5A7D" w:rsidRPr="009B39EC" w:rsidRDefault="00DC5A7D" w:rsidP="00DC5A7D">
            <w:pPr>
              <w:jc w:val="both"/>
              <w:rPr>
                <w:rFonts w:ascii="Arial" w:hAnsi="Arial" w:cs="Arial"/>
                <w:sz w:val="20"/>
                <w:szCs w:val="20"/>
                <w:lang w:val="en-GB"/>
              </w:rPr>
            </w:pPr>
          </w:p>
        </w:tc>
      </w:tr>
      <w:tr w:rsidR="00DC5A7D" w:rsidRPr="009B39EC" w14:paraId="5DE54357" w14:textId="77777777" w:rsidTr="00047815">
        <w:trPr>
          <w:trHeight w:val="276"/>
        </w:trPr>
        <w:tc>
          <w:tcPr>
            <w:tcW w:w="216" w:type="pct"/>
            <w:vMerge/>
          </w:tcPr>
          <w:p w14:paraId="5B175607" w14:textId="77777777" w:rsidR="00DC5A7D" w:rsidRPr="009B39EC" w:rsidRDefault="00DC5A7D" w:rsidP="00DC5A7D">
            <w:pPr>
              <w:jc w:val="both"/>
              <w:rPr>
                <w:rFonts w:ascii="Arial" w:hAnsi="Arial" w:cs="Arial"/>
                <w:sz w:val="20"/>
                <w:szCs w:val="20"/>
                <w:lang w:val="en-GB"/>
              </w:rPr>
            </w:pPr>
          </w:p>
        </w:tc>
        <w:tc>
          <w:tcPr>
            <w:tcW w:w="3497" w:type="pct"/>
          </w:tcPr>
          <w:p w14:paraId="294C36BE" w14:textId="05AE40C6" w:rsidR="00DC5A7D" w:rsidRPr="009B39EC" w:rsidRDefault="00DF5DC4" w:rsidP="00DC5A7D">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N</w:t>
            </w:r>
            <w:r w:rsidR="00C07BA1" w:rsidRPr="009B39EC">
              <w:rPr>
                <w:rFonts w:ascii="Arial" w:hAnsi="Arial" w:cs="Arial"/>
                <w:sz w:val="20"/>
                <w:szCs w:val="20"/>
                <w:lang w:val="en-GB"/>
              </w:rPr>
              <w:t>ational</w:t>
            </w:r>
          </w:p>
        </w:tc>
        <w:tc>
          <w:tcPr>
            <w:tcW w:w="800" w:type="pct"/>
          </w:tcPr>
          <w:p w14:paraId="6BDCD596" w14:textId="24280A80"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66621402"/>
                <w14:checkbox>
                  <w14:checked w14:val="1"/>
                  <w14:checkedState w14:val="2612" w14:font="MS Gothic"/>
                  <w14:uncheckedState w14:val="2610" w14:font="MS Gothic"/>
                </w14:checkbox>
              </w:sdtPr>
              <w:sdtEndPr/>
              <w:sdtContent>
                <w:r w:rsidR="004860C4" w:rsidRPr="009B39EC">
                  <w:rPr>
                    <w:rFonts w:ascii="Segoe UI Symbol" w:eastAsia="MS Gothic" w:hAnsi="Segoe UI Symbol" w:cs="Segoe UI Symbol"/>
                    <w:sz w:val="20"/>
                    <w:szCs w:val="20"/>
                    <w:lang w:val="en-GB"/>
                  </w:rPr>
                  <w:t>☒</w:t>
                </w:r>
              </w:sdtContent>
            </w:sdt>
          </w:p>
        </w:tc>
        <w:tc>
          <w:tcPr>
            <w:tcW w:w="487" w:type="pct"/>
          </w:tcPr>
          <w:p w14:paraId="11FACF09" w14:textId="3FAD0664"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17129598"/>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0B66C857" w14:textId="77777777" w:rsidTr="00047815">
        <w:trPr>
          <w:trHeight w:val="276"/>
        </w:trPr>
        <w:tc>
          <w:tcPr>
            <w:tcW w:w="216" w:type="pct"/>
            <w:vMerge/>
          </w:tcPr>
          <w:p w14:paraId="3F554DDA" w14:textId="77777777" w:rsidR="00DC5A7D" w:rsidRPr="009B39EC" w:rsidRDefault="00DC5A7D" w:rsidP="00DC5A7D">
            <w:pPr>
              <w:jc w:val="both"/>
              <w:rPr>
                <w:rFonts w:ascii="Arial" w:hAnsi="Arial" w:cs="Arial"/>
                <w:sz w:val="20"/>
                <w:szCs w:val="20"/>
                <w:lang w:val="en-GB"/>
              </w:rPr>
            </w:pPr>
          </w:p>
        </w:tc>
        <w:tc>
          <w:tcPr>
            <w:tcW w:w="3497" w:type="pct"/>
          </w:tcPr>
          <w:p w14:paraId="46987797" w14:textId="26BDAA95" w:rsidR="00DC5A7D" w:rsidRPr="009B39EC" w:rsidRDefault="00C07BA1" w:rsidP="00DC5A7D">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and/or regional</w:t>
            </w:r>
          </w:p>
        </w:tc>
        <w:tc>
          <w:tcPr>
            <w:tcW w:w="800" w:type="pct"/>
          </w:tcPr>
          <w:p w14:paraId="6230BC10" w14:textId="1AD955AA"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844134753"/>
                <w14:checkbox>
                  <w14:checked w14:val="1"/>
                  <w14:checkedState w14:val="2612" w14:font="MS Gothic"/>
                  <w14:uncheckedState w14:val="2610" w14:font="MS Gothic"/>
                </w14:checkbox>
              </w:sdtPr>
              <w:sdtEndPr/>
              <w:sdtContent>
                <w:r w:rsidR="004860C4" w:rsidRPr="009B39EC">
                  <w:rPr>
                    <w:rFonts w:ascii="Segoe UI Symbol" w:eastAsia="MS Gothic" w:hAnsi="Segoe UI Symbol" w:cs="Segoe UI Symbol"/>
                    <w:sz w:val="20"/>
                    <w:szCs w:val="20"/>
                    <w:lang w:val="en-GB"/>
                  </w:rPr>
                  <w:t>☒</w:t>
                </w:r>
              </w:sdtContent>
            </w:sdt>
          </w:p>
        </w:tc>
        <w:tc>
          <w:tcPr>
            <w:tcW w:w="487" w:type="pct"/>
          </w:tcPr>
          <w:p w14:paraId="02AB9459" w14:textId="4D162D77"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631014056"/>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5D0839E4" w14:textId="77777777" w:rsidTr="00047815">
        <w:trPr>
          <w:trHeight w:val="276"/>
        </w:trPr>
        <w:tc>
          <w:tcPr>
            <w:tcW w:w="216" w:type="pct"/>
            <w:vMerge/>
          </w:tcPr>
          <w:p w14:paraId="01207951" w14:textId="77777777" w:rsidR="00DC5A7D" w:rsidRPr="009B39EC" w:rsidRDefault="00DC5A7D" w:rsidP="00DC5A7D">
            <w:pPr>
              <w:jc w:val="both"/>
              <w:rPr>
                <w:rFonts w:ascii="Arial" w:hAnsi="Arial" w:cs="Arial"/>
                <w:sz w:val="20"/>
                <w:szCs w:val="20"/>
                <w:lang w:val="en-GB"/>
              </w:rPr>
            </w:pPr>
          </w:p>
        </w:tc>
        <w:tc>
          <w:tcPr>
            <w:tcW w:w="3497" w:type="pct"/>
          </w:tcPr>
          <w:p w14:paraId="55DADC60" w14:textId="597318EB" w:rsidR="00DC5A7D" w:rsidRPr="009B39EC" w:rsidRDefault="00C07BA1" w:rsidP="00DC5A7D">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and/or local</w:t>
            </w:r>
          </w:p>
        </w:tc>
        <w:tc>
          <w:tcPr>
            <w:tcW w:w="800" w:type="pct"/>
          </w:tcPr>
          <w:p w14:paraId="48453628" w14:textId="1AC3EEE5"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102233898"/>
                <w14:checkbox>
                  <w14:checked w14:val="1"/>
                  <w14:checkedState w14:val="2612" w14:font="MS Gothic"/>
                  <w14:uncheckedState w14:val="2610" w14:font="MS Gothic"/>
                </w14:checkbox>
              </w:sdtPr>
              <w:sdtEndPr/>
              <w:sdtContent>
                <w:r w:rsidR="004860C4" w:rsidRPr="009B39EC">
                  <w:rPr>
                    <w:rFonts w:ascii="Segoe UI Symbol" w:eastAsia="MS Gothic" w:hAnsi="Segoe UI Symbol" w:cs="Segoe UI Symbol"/>
                    <w:sz w:val="20"/>
                    <w:szCs w:val="20"/>
                    <w:lang w:val="en-GB"/>
                  </w:rPr>
                  <w:t>☒</w:t>
                </w:r>
              </w:sdtContent>
            </w:sdt>
          </w:p>
        </w:tc>
        <w:tc>
          <w:tcPr>
            <w:tcW w:w="487" w:type="pct"/>
          </w:tcPr>
          <w:p w14:paraId="223B6E6E" w14:textId="7AD47797"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048802348"/>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4056CA" w:rsidRPr="009B39EC" w14:paraId="0C79E352" w14:textId="77777777" w:rsidTr="00047815">
        <w:trPr>
          <w:trHeight w:val="276"/>
        </w:trPr>
        <w:tc>
          <w:tcPr>
            <w:tcW w:w="216" w:type="pct"/>
          </w:tcPr>
          <w:p w14:paraId="7F6578FA" w14:textId="77777777" w:rsidR="004056CA" w:rsidRPr="009B39EC" w:rsidRDefault="004056CA" w:rsidP="00DC5A7D">
            <w:pPr>
              <w:jc w:val="both"/>
              <w:rPr>
                <w:rFonts w:ascii="Arial" w:hAnsi="Arial" w:cs="Arial"/>
                <w:sz w:val="20"/>
                <w:szCs w:val="20"/>
                <w:lang w:val="en-GB"/>
              </w:rPr>
            </w:pPr>
          </w:p>
        </w:tc>
        <w:tc>
          <w:tcPr>
            <w:tcW w:w="3497" w:type="pct"/>
          </w:tcPr>
          <w:p w14:paraId="72DEF864" w14:textId="440D858E" w:rsidR="004056CA" w:rsidRPr="009B39EC" w:rsidRDefault="004056CA" w:rsidP="004056CA">
            <w:pPr>
              <w:pStyle w:val="NoSpacing"/>
              <w:jc w:val="both"/>
              <w:rPr>
                <w:rFonts w:ascii="Arial" w:hAnsi="Arial" w:cs="Arial"/>
                <w:sz w:val="20"/>
                <w:szCs w:val="20"/>
                <w:lang w:val="en-GB"/>
              </w:rPr>
            </w:pPr>
            <w:r w:rsidRPr="009B39EC">
              <w:rPr>
                <w:rFonts w:ascii="Arial" w:hAnsi="Arial" w:cs="Arial"/>
                <w:sz w:val="20"/>
                <w:szCs w:val="20"/>
                <w:lang w:val="en-GB"/>
              </w:rPr>
              <w:t>levels of government for activities to prevent and combat all forms of violence against women covered by the Istanbul Convention?</w:t>
            </w:r>
          </w:p>
        </w:tc>
        <w:tc>
          <w:tcPr>
            <w:tcW w:w="800" w:type="pct"/>
          </w:tcPr>
          <w:p w14:paraId="6EEC11FB" w14:textId="77777777" w:rsidR="004056CA" w:rsidRPr="009B39EC" w:rsidRDefault="004056CA" w:rsidP="00DC5A7D">
            <w:pPr>
              <w:jc w:val="both"/>
              <w:rPr>
                <w:rFonts w:ascii="Arial" w:hAnsi="Arial" w:cs="Arial"/>
                <w:b/>
                <w:bCs/>
                <w:sz w:val="20"/>
                <w:szCs w:val="20"/>
                <w:lang w:val="en-GB"/>
              </w:rPr>
            </w:pPr>
          </w:p>
        </w:tc>
        <w:tc>
          <w:tcPr>
            <w:tcW w:w="487" w:type="pct"/>
          </w:tcPr>
          <w:p w14:paraId="717ABB8C" w14:textId="77777777" w:rsidR="004056CA" w:rsidRPr="009B39EC" w:rsidRDefault="004056CA" w:rsidP="00DC5A7D">
            <w:pPr>
              <w:jc w:val="both"/>
              <w:rPr>
                <w:rFonts w:ascii="Arial" w:hAnsi="Arial" w:cs="Arial"/>
                <w:sz w:val="20"/>
                <w:szCs w:val="20"/>
                <w:lang w:val="en-GB"/>
              </w:rPr>
            </w:pPr>
          </w:p>
        </w:tc>
      </w:tr>
      <w:tr w:rsidR="00DC5A7D" w:rsidRPr="009B39EC" w14:paraId="4E882A26" w14:textId="77777777" w:rsidTr="004860C4">
        <w:tc>
          <w:tcPr>
            <w:tcW w:w="216" w:type="pct"/>
          </w:tcPr>
          <w:p w14:paraId="545A9A59"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12.1</w:t>
            </w:r>
          </w:p>
        </w:tc>
        <w:tc>
          <w:tcPr>
            <w:tcW w:w="4784" w:type="pct"/>
            <w:gridSpan w:val="3"/>
          </w:tcPr>
          <w:p w14:paraId="50321BCC" w14:textId="77777777" w:rsidR="004056CA" w:rsidRPr="009B39EC" w:rsidRDefault="004056CA" w:rsidP="004056CA">
            <w:pPr>
              <w:jc w:val="both"/>
              <w:rPr>
                <w:rFonts w:ascii="Arial" w:hAnsi="Arial" w:cs="Arial"/>
                <w:sz w:val="20"/>
                <w:szCs w:val="20"/>
                <w:lang w:val="en-GB"/>
              </w:rPr>
            </w:pPr>
            <w:r w:rsidRPr="009B39EC">
              <w:rPr>
                <w:rFonts w:ascii="Arial" w:hAnsi="Arial" w:cs="Arial"/>
                <w:sz w:val="20"/>
                <w:szCs w:val="20"/>
                <w:lang w:val="en-GB"/>
              </w:rPr>
              <w:t>If yes, what is the annual amount of these funds? If possible, please specify the percentage of the total national state budget that the amount represents.</w:t>
            </w:r>
          </w:p>
          <w:p w14:paraId="1E0273BD" w14:textId="7FBB43A8" w:rsidR="00DC5A7D" w:rsidRPr="009B39EC" w:rsidRDefault="004860C4" w:rsidP="00DC5A7D">
            <w:pPr>
              <w:jc w:val="both"/>
              <w:rPr>
                <w:rFonts w:ascii="Arial" w:hAnsi="Arial" w:cs="Arial"/>
                <w:sz w:val="20"/>
                <w:szCs w:val="20"/>
                <w:lang w:val="en-GB"/>
              </w:rPr>
            </w:pPr>
            <w:r w:rsidRPr="009B39EC">
              <w:rPr>
                <w:rFonts w:ascii="Arial" w:hAnsi="Arial" w:cs="Arial"/>
                <w:sz w:val="20"/>
                <w:szCs w:val="20"/>
                <w:lang w:val="en-GB"/>
              </w:rPr>
              <w:t xml:space="preserve"> </w:t>
            </w:r>
          </w:p>
          <w:p w14:paraId="51048108" w14:textId="5BF11BB5" w:rsidR="004860C4" w:rsidRPr="009B39EC" w:rsidRDefault="005F07B7" w:rsidP="0014262C">
            <w:pPr>
              <w:jc w:val="both"/>
              <w:rPr>
                <w:rFonts w:ascii="Arial" w:hAnsi="Arial" w:cs="Arial"/>
                <w:sz w:val="20"/>
                <w:szCs w:val="20"/>
                <w:lang w:val="en-GB"/>
              </w:rPr>
            </w:pPr>
            <w:r w:rsidRPr="009B39EC">
              <w:rPr>
                <w:rFonts w:ascii="Arial" w:hAnsi="Arial" w:cs="Arial"/>
                <w:b/>
                <w:bCs/>
                <w:sz w:val="20"/>
                <w:szCs w:val="20"/>
                <w:lang w:val="en-GB"/>
              </w:rPr>
              <w:t xml:space="preserve">The </w:t>
            </w:r>
            <w:r w:rsidR="004056CA" w:rsidRPr="009B39EC">
              <w:rPr>
                <w:rFonts w:ascii="Arial" w:hAnsi="Arial" w:cs="Arial"/>
                <w:b/>
                <w:bCs/>
                <w:sz w:val="20"/>
                <w:szCs w:val="20"/>
                <w:lang w:val="en-GB"/>
              </w:rPr>
              <w:t>Ministry of Health and Social Protection</w:t>
            </w:r>
            <w:r w:rsidR="00080927" w:rsidRPr="009B39EC">
              <w:rPr>
                <w:rFonts w:ascii="Arial" w:hAnsi="Arial" w:cs="Arial"/>
                <w:b/>
                <w:bCs/>
                <w:sz w:val="20"/>
                <w:szCs w:val="20"/>
                <w:lang w:val="en-GB"/>
              </w:rPr>
              <w:t>:</w:t>
            </w:r>
            <w:r w:rsidR="00080927" w:rsidRPr="009B39EC">
              <w:rPr>
                <w:rFonts w:ascii="Arial" w:hAnsi="Arial" w:cs="Arial"/>
                <w:sz w:val="20"/>
                <w:szCs w:val="20"/>
                <w:lang w:val="en-GB"/>
              </w:rPr>
              <w:t xml:space="preserve"> </w:t>
            </w:r>
            <w:r w:rsidR="0052525C" w:rsidRPr="009B39EC">
              <w:rPr>
                <w:rFonts w:ascii="Arial" w:hAnsi="Arial" w:cs="Arial"/>
                <w:sz w:val="20"/>
                <w:szCs w:val="20"/>
                <w:lang w:val="en-GB"/>
              </w:rPr>
              <w:t xml:space="preserve">In </w:t>
            </w:r>
            <w:r w:rsidR="00922C4A" w:rsidRPr="009B39EC">
              <w:rPr>
                <w:rFonts w:ascii="Arial" w:hAnsi="Arial" w:cs="Arial"/>
                <w:sz w:val="20"/>
                <w:szCs w:val="20"/>
                <w:lang w:val="en-GB"/>
              </w:rPr>
              <w:t xml:space="preserve">2018, </w:t>
            </w:r>
            <w:r w:rsidRPr="009B39EC">
              <w:rPr>
                <w:rFonts w:ascii="Arial" w:hAnsi="Arial" w:cs="Arial"/>
                <w:sz w:val="20"/>
                <w:szCs w:val="20"/>
                <w:lang w:val="en-GB"/>
              </w:rPr>
              <w:t xml:space="preserve">following a joint proposal by the Ministry of Health and Social Protection, Ministry of the Interior and Ministry of Finance </w:t>
            </w:r>
            <w:r w:rsidR="0051634F" w:rsidRPr="009B39EC">
              <w:rPr>
                <w:rFonts w:ascii="Arial" w:hAnsi="Arial" w:cs="Arial"/>
                <w:sz w:val="20"/>
                <w:szCs w:val="20"/>
                <w:lang w:val="en-GB"/>
              </w:rPr>
              <w:t>the Albanian Government established a Social Fund</w:t>
            </w:r>
            <w:r w:rsidR="00922C4A" w:rsidRPr="009B39EC">
              <w:rPr>
                <w:rFonts w:ascii="Arial" w:hAnsi="Arial" w:cs="Arial"/>
                <w:sz w:val="20"/>
                <w:szCs w:val="20"/>
                <w:lang w:val="en-GB"/>
              </w:rPr>
              <w:t xml:space="preserve">. </w:t>
            </w:r>
            <w:r w:rsidR="0051634F" w:rsidRPr="009B39EC">
              <w:rPr>
                <w:rFonts w:ascii="Arial" w:hAnsi="Arial" w:cs="Arial"/>
                <w:sz w:val="20"/>
                <w:szCs w:val="20"/>
                <w:lang w:val="en-GB"/>
              </w:rPr>
              <w:t>Local Self-Government Units (LSGU</w:t>
            </w:r>
            <w:r w:rsidRPr="009B39EC">
              <w:rPr>
                <w:rFonts w:ascii="Arial" w:hAnsi="Arial" w:cs="Arial"/>
                <w:sz w:val="20"/>
                <w:szCs w:val="20"/>
                <w:lang w:val="en-GB"/>
              </w:rPr>
              <w:t>s</w:t>
            </w:r>
            <w:r w:rsidR="0051634F" w:rsidRPr="009B39EC">
              <w:rPr>
                <w:rFonts w:ascii="Arial" w:hAnsi="Arial" w:cs="Arial"/>
                <w:sz w:val="20"/>
                <w:szCs w:val="20"/>
                <w:lang w:val="en-GB"/>
              </w:rPr>
              <w:t>)</w:t>
            </w:r>
            <w:r w:rsidR="000E6DC3" w:rsidRPr="009B39EC">
              <w:rPr>
                <w:rFonts w:ascii="Arial" w:hAnsi="Arial" w:cs="Arial"/>
                <w:sz w:val="20"/>
                <w:szCs w:val="20"/>
                <w:lang w:val="en-GB"/>
              </w:rPr>
              <w:t xml:space="preserve"> </w:t>
            </w:r>
            <w:r w:rsidR="0051634F" w:rsidRPr="009B39EC">
              <w:rPr>
                <w:rFonts w:ascii="Arial" w:hAnsi="Arial" w:cs="Arial"/>
                <w:sz w:val="20"/>
                <w:szCs w:val="20"/>
                <w:lang w:val="en-GB"/>
              </w:rPr>
              <w:t xml:space="preserve">whose social plans </w:t>
            </w:r>
            <w:r w:rsidRPr="009B39EC">
              <w:rPr>
                <w:rFonts w:ascii="Arial" w:hAnsi="Arial" w:cs="Arial"/>
                <w:sz w:val="20"/>
                <w:szCs w:val="20"/>
                <w:lang w:val="en-GB"/>
              </w:rPr>
              <w:t>have already</w:t>
            </w:r>
            <w:r w:rsidR="0051634F" w:rsidRPr="009B39EC">
              <w:rPr>
                <w:rFonts w:ascii="Arial" w:hAnsi="Arial" w:cs="Arial"/>
                <w:sz w:val="20"/>
                <w:szCs w:val="20"/>
                <w:lang w:val="en-GB"/>
              </w:rPr>
              <w:t xml:space="preserve"> </w:t>
            </w:r>
            <w:r w:rsidRPr="009B39EC">
              <w:rPr>
                <w:rFonts w:ascii="Arial" w:hAnsi="Arial" w:cs="Arial"/>
                <w:sz w:val="20"/>
                <w:szCs w:val="20"/>
                <w:lang w:val="en-GB"/>
              </w:rPr>
              <w:t xml:space="preserve">been </w:t>
            </w:r>
            <w:r w:rsidR="0051634F" w:rsidRPr="009B39EC">
              <w:rPr>
                <w:rFonts w:ascii="Arial" w:hAnsi="Arial" w:cs="Arial"/>
                <w:sz w:val="20"/>
                <w:szCs w:val="20"/>
                <w:lang w:val="en-GB"/>
              </w:rPr>
              <w:t>adopted by the</w:t>
            </w:r>
            <w:r w:rsidRPr="009B39EC">
              <w:rPr>
                <w:rFonts w:ascii="Arial" w:hAnsi="Arial" w:cs="Arial"/>
                <w:sz w:val="20"/>
                <w:szCs w:val="20"/>
                <w:lang w:val="en-GB"/>
              </w:rPr>
              <w:t>ir</w:t>
            </w:r>
            <w:r w:rsidR="0051634F" w:rsidRPr="009B39EC">
              <w:rPr>
                <w:rFonts w:ascii="Arial" w:hAnsi="Arial" w:cs="Arial"/>
                <w:sz w:val="20"/>
                <w:szCs w:val="20"/>
                <w:lang w:val="en-GB"/>
              </w:rPr>
              <w:t xml:space="preserve"> respective municipal councils</w:t>
            </w:r>
            <w:r w:rsidRPr="009B39EC">
              <w:rPr>
                <w:rFonts w:ascii="Arial" w:hAnsi="Arial" w:cs="Arial"/>
                <w:sz w:val="20"/>
                <w:szCs w:val="20"/>
                <w:lang w:val="en-GB"/>
              </w:rPr>
              <w:t>,</w:t>
            </w:r>
            <w:r w:rsidR="0051634F" w:rsidRPr="009B39EC">
              <w:rPr>
                <w:rFonts w:ascii="Arial" w:hAnsi="Arial" w:cs="Arial"/>
                <w:sz w:val="20"/>
                <w:szCs w:val="20"/>
                <w:lang w:val="en-GB"/>
              </w:rPr>
              <w:t xml:space="preserve"> can apply to the Social Fund for </w:t>
            </w:r>
            <w:r w:rsidR="00445CB5" w:rsidRPr="009B39EC">
              <w:rPr>
                <w:rFonts w:ascii="Arial" w:hAnsi="Arial" w:cs="Arial"/>
                <w:sz w:val="20"/>
                <w:szCs w:val="20"/>
                <w:lang w:val="en-GB"/>
              </w:rPr>
              <w:t>additional</w:t>
            </w:r>
            <w:r w:rsidR="0051634F" w:rsidRPr="009B39EC">
              <w:rPr>
                <w:rFonts w:ascii="Arial" w:hAnsi="Arial" w:cs="Arial"/>
                <w:sz w:val="20"/>
                <w:szCs w:val="20"/>
                <w:lang w:val="en-GB"/>
              </w:rPr>
              <w:t xml:space="preserve"> support </w:t>
            </w:r>
            <w:r w:rsidR="00DE5D3A" w:rsidRPr="009B39EC">
              <w:rPr>
                <w:rFonts w:ascii="Arial" w:hAnsi="Arial" w:cs="Arial"/>
                <w:sz w:val="20"/>
                <w:szCs w:val="20"/>
                <w:lang w:val="en-GB"/>
              </w:rPr>
              <w:t>in</w:t>
            </w:r>
            <w:r w:rsidR="0051634F" w:rsidRPr="009B39EC">
              <w:rPr>
                <w:rFonts w:ascii="Arial" w:hAnsi="Arial" w:cs="Arial"/>
                <w:sz w:val="20"/>
                <w:szCs w:val="20"/>
                <w:lang w:val="en-GB"/>
              </w:rPr>
              <w:t xml:space="preserve"> meeting the needs </w:t>
            </w:r>
            <w:r w:rsidRPr="009B39EC">
              <w:rPr>
                <w:rFonts w:ascii="Arial" w:hAnsi="Arial" w:cs="Arial"/>
                <w:sz w:val="20"/>
                <w:szCs w:val="20"/>
                <w:lang w:val="en-GB"/>
              </w:rPr>
              <w:t xml:space="preserve">of vulnerable groups </w:t>
            </w:r>
            <w:r w:rsidR="0051634F" w:rsidRPr="009B39EC">
              <w:rPr>
                <w:rFonts w:ascii="Arial" w:hAnsi="Arial" w:cs="Arial"/>
                <w:sz w:val="20"/>
                <w:szCs w:val="20"/>
                <w:lang w:val="en-GB"/>
              </w:rPr>
              <w:t>for social services</w:t>
            </w:r>
            <w:r w:rsidR="00922C4A" w:rsidRPr="009B39EC">
              <w:rPr>
                <w:rFonts w:ascii="Arial" w:hAnsi="Arial" w:cs="Arial"/>
                <w:sz w:val="20"/>
                <w:szCs w:val="20"/>
                <w:lang w:val="en-GB"/>
              </w:rPr>
              <w:t xml:space="preserve">. </w:t>
            </w:r>
            <w:r w:rsidR="00DE5D3A" w:rsidRPr="009B39EC">
              <w:rPr>
                <w:rFonts w:ascii="Arial" w:hAnsi="Arial" w:cs="Arial"/>
                <w:sz w:val="20"/>
                <w:szCs w:val="20"/>
                <w:lang w:val="en-GB"/>
              </w:rPr>
              <w:t>About</w:t>
            </w:r>
            <w:r w:rsidR="000E6DC3" w:rsidRPr="009B39EC">
              <w:rPr>
                <w:rFonts w:ascii="Arial" w:hAnsi="Arial" w:cs="Arial"/>
                <w:sz w:val="20"/>
                <w:szCs w:val="20"/>
                <w:lang w:val="en-GB"/>
              </w:rPr>
              <w:t xml:space="preserve"> 80</w:t>
            </w:r>
            <w:r w:rsidR="007515B1" w:rsidRPr="009B39EC">
              <w:rPr>
                <w:rFonts w:ascii="Arial" w:hAnsi="Arial" w:cs="Arial"/>
                <w:sz w:val="20"/>
                <w:szCs w:val="20"/>
                <w:lang w:val="en-GB"/>
              </w:rPr>
              <w:t>%</w:t>
            </w:r>
            <w:r w:rsidR="000E6DC3" w:rsidRPr="009B39EC">
              <w:rPr>
                <w:rFonts w:ascii="Arial" w:hAnsi="Arial" w:cs="Arial"/>
                <w:sz w:val="20"/>
                <w:szCs w:val="20"/>
                <w:lang w:val="en-GB"/>
              </w:rPr>
              <w:t xml:space="preserve"> </w:t>
            </w:r>
            <w:r w:rsidR="00DE5D3A" w:rsidRPr="009B39EC">
              <w:rPr>
                <w:rFonts w:ascii="Arial" w:hAnsi="Arial" w:cs="Arial"/>
                <w:sz w:val="20"/>
                <w:szCs w:val="20"/>
                <w:lang w:val="en-GB"/>
              </w:rPr>
              <w:t xml:space="preserve">of LSGUs have drafted </w:t>
            </w:r>
            <w:r w:rsidRPr="009B39EC">
              <w:rPr>
                <w:rFonts w:ascii="Arial" w:hAnsi="Arial" w:cs="Arial"/>
                <w:sz w:val="20"/>
                <w:szCs w:val="20"/>
                <w:lang w:val="en-GB"/>
              </w:rPr>
              <w:t xml:space="preserve">their </w:t>
            </w:r>
            <w:r w:rsidR="00DE5D3A" w:rsidRPr="009B39EC">
              <w:rPr>
                <w:rFonts w:ascii="Arial" w:hAnsi="Arial" w:cs="Arial"/>
                <w:sz w:val="20"/>
                <w:szCs w:val="20"/>
                <w:lang w:val="en-GB"/>
              </w:rPr>
              <w:t xml:space="preserve">Social Plans with the support of international organisations and the State Social Service. These plans include measures </w:t>
            </w:r>
            <w:r w:rsidRPr="009B39EC">
              <w:rPr>
                <w:rFonts w:ascii="Arial" w:hAnsi="Arial" w:cs="Arial"/>
                <w:sz w:val="20"/>
                <w:szCs w:val="20"/>
                <w:lang w:val="en-GB"/>
              </w:rPr>
              <w:t xml:space="preserve">in support of </w:t>
            </w:r>
            <w:r w:rsidR="00DE5D3A" w:rsidRPr="009B39EC">
              <w:rPr>
                <w:rFonts w:ascii="Arial" w:hAnsi="Arial" w:cs="Arial"/>
                <w:sz w:val="20"/>
                <w:szCs w:val="20"/>
                <w:lang w:val="en-GB"/>
              </w:rPr>
              <w:t xml:space="preserve">victims of violence and trafficking </w:t>
            </w:r>
            <w:r w:rsidRPr="009B39EC">
              <w:rPr>
                <w:rFonts w:ascii="Arial" w:hAnsi="Arial" w:cs="Arial"/>
                <w:sz w:val="20"/>
                <w:szCs w:val="20"/>
                <w:lang w:val="en-GB"/>
              </w:rPr>
              <w:t>and</w:t>
            </w:r>
            <w:r w:rsidR="00DE5D3A" w:rsidRPr="009B39EC">
              <w:rPr>
                <w:rFonts w:ascii="Arial" w:hAnsi="Arial" w:cs="Arial"/>
                <w:sz w:val="20"/>
                <w:szCs w:val="20"/>
                <w:lang w:val="en-GB"/>
              </w:rPr>
              <w:t xml:space="preserve"> other disadvantaged groups of women. The first call for applications to the Social Fund was announced in April </w:t>
            </w:r>
            <w:r w:rsidR="00922C4A" w:rsidRPr="009B39EC">
              <w:rPr>
                <w:rFonts w:ascii="Arial" w:hAnsi="Arial" w:cs="Arial"/>
                <w:sz w:val="20"/>
                <w:szCs w:val="20"/>
                <w:lang w:val="en-GB"/>
              </w:rPr>
              <w:t>2019</w:t>
            </w:r>
            <w:r w:rsidR="00080927" w:rsidRPr="009B39EC">
              <w:rPr>
                <w:rFonts w:ascii="Arial" w:hAnsi="Arial" w:cs="Arial"/>
                <w:sz w:val="20"/>
                <w:szCs w:val="20"/>
                <w:lang w:val="en-GB"/>
              </w:rPr>
              <w:t xml:space="preserve"> </w:t>
            </w:r>
            <w:r w:rsidR="00D96484" w:rsidRPr="009B39EC">
              <w:rPr>
                <w:rFonts w:ascii="Arial" w:hAnsi="Arial" w:cs="Arial"/>
                <w:sz w:val="20"/>
                <w:szCs w:val="20"/>
                <w:lang w:val="en-GB"/>
              </w:rPr>
              <w:t xml:space="preserve">and the winning applications were </w:t>
            </w:r>
            <w:r w:rsidRPr="009B39EC">
              <w:rPr>
                <w:rFonts w:ascii="Arial" w:hAnsi="Arial" w:cs="Arial"/>
                <w:sz w:val="20"/>
                <w:szCs w:val="20"/>
                <w:lang w:val="en-GB"/>
              </w:rPr>
              <w:t>announced</w:t>
            </w:r>
            <w:r w:rsidR="00D96484" w:rsidRPr="009B39EC">
              <w:rPr>
                <w:rFonts w:ascii="Arial" w:hAnsi="Arial" w:cs="Arial"/>
                <w:sz w:val="20"/>
                <w:szCs w:val="20"/>
                <w:lang w:val="en-GB"/>
              </w:rPr>
              <w:t xml:space="preserve"> in November</w:t>
            </w:r>
            <w:r w:rsidR="00922C4A" w:rsidRPr="009B39EC">
              <w:rPr>
                <w:rFonts w:ascii="Arial" w:hAnsi="Arial" w:cs="Arial"/>
                <w:sz w:val="20"/>
                <w:szCs w:val="20"/>
                <w:lang w:val="en-GB"/>
              </w:rPr>
              <w:t xml:space="preserve"> 2019</w:t>
            </w:r>
            <w:r w:rsidR="00080927" w:rsidRPr="009B39EC">
              <w:rPr>
                <w:rFonts w:ascii="Arial" w:hAnsi="Arial" w:cs="Arial"/>
                <w:sz w:val="20"/>
                <w:szCs w:val="20"/>
                <w:lang w:val="en-GB"/>
              </w:rPr>
              <w:t xml:space="preserve"> [</w:t>
            </w:r>
            <w:r w:rsidR="00922C4A" w:rsidRPr="009B39EC">
              <w:rPr>
                <w:rFonts w:ascii="Arial" w:hAnsi="Arial" w:cs="Arial"/>
                <w:sz w:val="20"/>
                <w:szCs w:val="20"/>
                <w:lang w:val="en-GB"/>
              </w:rPr>
              <w:t xml:space="preserve">14 </w:t>
            </w:r>
            <w:r w:rsidR="00D96484" w:rsidRPr="009B39EC">
              <w:rPr>
                <w:rFonts w:ascii="Arial" w:hAnsi="Arial" w:cs="Arial"/>
                <w:sz w:val="20"/>
                <w:szCs w:val="20"/>
                <w:lang w:val="en-GB"/>
              </w:rPr>
              <w:t xml:space="preserve">municipalities won projects </w:t>
            </w:r>
            <w:r w:rsidRPr="009B39EC">
              <w:rPr>
                <w:rFonts w:ascii="Arial" w:hAnsi="Arial" w:cs="Arial"/>
                <w:sz w:val="20"/>
                <w:szCs w:val="20"/>
                <w:lang w:val="en-GB"/>
              </w:rPr>
              <w:t>with a</w:t>
            </w:r>
            <w:r w:rsidR="00D96484" w:rsidRPr="009B39EC">
              <w:rPr>
                <w:rFonts w:ascii="Arial" w:hAnsi="Arial" w:cs="Arial"/>
                <w:sz w:val="20"/>
                <w:szCs w:val="20"/>
                <w:lang w:val="en-GB"/>
              </w:rPr>
              <w:t xml:space="preserve"> value of </w:t>
            </w:r>
            <w:r w:rsidR="006134B9" w:rsidRPr="009B39EC">
              <w:rPr>
                <w:rFonts w:ascii="Arial" w:hAnsi="Arial" w:cs="Arial"/>
                <w:sz w:val="20"/>
                <w:szCs w:val="20"/>
                <w:lang w:val="en-GB"/>
              </w:rPr>
              <w:t xml:space="preserve">ALL </w:t>
            </w:r>
            <w:r w:rsidR="00922C4A" w:rsidRPr="009B39EC">
              <w:rPr>
                <w:rFonts w:ascii="Arial" w:hAnsi="Arial" w:cs="Arial"/>
                <w:sz w:val="20"/>
                <w:szCs w:val="20"/>
                <w:lang w:val="en-GB"/>
              </w:rPr>
              <w:t>69,117,366 (</w:t>
            </w:r>
            <w:r w:rsidR="006134B9" w:rsidRPr="009B39EC">
              <w:rPr>
                <w:rFonts w:ascii="Arial" w:hAnsi="Arial" w:cs="Arial"/>
                <w:sz w:val="20"/>
                <w:szCs w:val="20"/>
                <w:lang w:val="en-GB"/>
              </w:rPr>
              <w:t>about</w:t>
            </w:r>
            <w:r w:rsidR="00922C4A" w:rsidRPr="009B39EC">
              <w:rPr>
                <w:rFonts w:ascii="Arial" w:hAnsi="Arial" w:cs="Arial"/>
                <w:sz w:val="20"/>
                <w:szCs w:val="20"/>
                <w:lang w:val="en-GB"/>
              </w:rPr>
              <w:t xml:space="preserve"> 690 </w:t>
            </w:r>
            <w:r w:rsidR="00D96484" w:rsidRPr="009B39EC">
              <w:rPr>
                <w:rFonts w:ascii="Arial" w:hAnsi="Arial" w:cs="Arial"/>
                <w:sz w:val="20"/>
                <w:szCs w:val="20"/>
                <w:lang w:val="en-GB"/>
              </w:rPr>
              <w:t>thousand Euro</w:t>
            </w:r>
            <w:r w:rsidR="00922C4A" w:rsidRPr="009B39EC">
              <w:rPr>
                <w:rFonts w:ascii="Arial" w:hAnsi="Arial" w:cs="Arial"/>
                <w:sz w:val="20"/>
                <w:szCs w:val="20"/>
                <w:lang w:val="en-GB"/>
              </w:rPr>
              <w:t xml:space="preserve">) </w:t>
            </w:r>
            <w:r w:rsidRPr="009B39EC">
              <w:rPr>
                <w:rFonts w:ascii="Arial" w:hAnsi="Arial" w:cs="Arial"/>
                <w:sz w:val="20"/>
                <w:szCs w:val="20"/>
                <w:lang w:val="en-GB"/>
              </w:rPr>
              <w:t>to be financed from the</w:t>
            </w:r>
            <w:r w:rsidR="00AF3D0D" w:rsidRPr="009B39EC">
              <w:rPr>
                <w:rFonts w:ascii="Arial" w:hAnsi="Arial" w:cs="Arial"/>
                <w:sz w:val="20"/>
                <w:szCs w:val="20"/>
                <w:lang w:val="en-GB"/>
              </w:rPr>
              <w:t xml:space="preserve"> </w:t>
            </w:r>
            <w:r w:rsidRPr="009B39EC">
              <w:rPr>
                <w:rFonts w:ascii="Arial" w:hAnsi="Arial" w:cs="Arial"/>
                <w:sz w:val="20"/>
                <w:szCs w:val="20"/>
                <w:lang w:val="en-GB"/>
              </w:rPr>
              <w:t xml:space="preserve">budget of the </w:t>
            </w:r>
            <w:r w:rsidR="00AF3D0D" w:rsidRPr="009B39EC">
              <w:rPr>
                <w:rFonts w:ascii="Arial" w:hAnsi="Arial" w:cs="Arial"/>
                <w:sz w:val="20"/>
                <w:szCs w:val="20"/>
                <w:lang w:val="en-GB"/>
              </w:rPr>
              <w:t>Ministry</w:t>
            </w:r>
            <w:r w:rsidRPr="009B39EC">
              <w:rPr>
                <w:rFonts w:ascii="Arial" w:hAnsi="Arial" w:cs="Arial"/>
                <w:sz w:val="20"/>
                <w:szCs w:val="20"/>
                <w:lang w:val="en-GB"/>
              </w:rPr>
              <w:t>; these would go towards</w:t>
            </w:r>
            <w:r w:rsidR="00AF3D0D" w:rsidRPr="009B39EC">
              <w:rPr>
                <w:rFonts w:ascii="Arial" w:hAnsi="Arial" w:cs="Arial"/>
                <w:sz w:val="20"/>
                <w:szCs w:val="20"/>
                <w:lang w:val="en-GB"/>
              </w:rPr>
              <w:t xml:space="preserve"> funding social services for a </w:t>
            </w:r>
            <w:r w:rsidRPr="009B39EC">
              <w:rPr>
                <w:rFonts w:ascii="Arial" w:hAnsi="Arial" w:cs="Arial"/>
                <w:sz w:val="20"/>
                <w:szCs w:val="20"/>
                <w:lang w:val="en-GB"/>
              </w:rPr>
              <w:t xml:space="preserve">12-month </w:t>
            </w:r>
            <w:r w:rsidR="00AF3D0D" w:rsidRPr="009B39EC">
              <w:rPr>
                <w:rFonts w:ascii="Arial" w:hAnsi="Arial" w:cs="Arial"/>
                <w:sz w:val="20"/>
                <w:szCs w:val="20"/>
                <w:lang w:val="en-GB"/>
              </w:rPr>
              <w:t>period</w:t>
            </w:r>
            <w:r w:rsidR="00080927" w:rsidRPr="009B39EC">
              <w:rPr>
                <w:rFonts w:ascii="Arial" w:hAnsi="Arial" w:cs="Arial"/>
                <w:sz w:val="20"/>
                <w:szCs w:val="20"/>
                <w:lang w:val="en-GB"/>
              </w:rPr>
              <w:t>]</w:t>
            </w:r>
            <w:r w:rsidR="00922C4A" w:rsidRPr="009B39EC">
              <w:rPr>
                <w:rFonts w:ascii="Arial" w:hAnsi="Arial" w:cs="Arial"/>
                <w:sz w:val="20"/>
                <w:szCs w:val="20"/>
                <w:lang w:val="en-GB"/>
              </w:rPr>
              <w:t xml:space="preserve">. </w:t>
            </w:r>
            <w:r w:rsidR="00AF3D0D" w:rsidRPr="009B39EC">
              <w:rPr>
                <w:rFonts w:ascii="Arial" w:hAnsi="Arial" w:cs="Arial"/>
                <w:sz w:val="20"/>
                <w:szCs w:val="20"/>
                <w:lang w:val="en-GB"/>
              </w:rPr>
              <w:t xml:space="preserve">One </w:t>
            </w:r>
            <w:r w:rsidR="0015556E" w:rsidRPr="009B39EC">
              <w:rPr>
                <w:rFonts w:ascii="Arial" w:hAnsi="Arial" w:cs="Arial"/>
                <w:sz w:val="20"/>
                <w:szCs w:val="20"/>
                <w:lang w:val="en-GB"/>
              </w:rPr>
              <w:t>such winning project</w:t>
            </w:r>
            <w:r w:rsidRPr="009B39EC">
              <w:rPr>
                <w:rFonts w:ascii="Arial" w:hAnsi="Arial" w:cs="Arial"/>
                <w:sz w:val="20"/>
                <w:szCs w:val="20"/>
                <w:lang w:val="en-GB"/>
              </w:rPr>
              <w:t>,</w:t>
            </w:r>
            <w:r w:rsidR="00AF3D0D" w:rsidRPr="009B39EC">
              <w:rPr>
                <w:rFonts w:ascii="Arial" w:hAnsi="Arial" w:cs="Arial"/>
                <w:sz w:val="20"/>
                <w:szCs w:val="20"/>
                <w:lang w:val="en-GB"/>
              </w:rPr>
              <w:t xml:space="preserve"> whose implementation started in </w:t>
            </w:r>
            <w:r w:rsidR="00080927" w:rsidRPr="009B39EC">
              <w:rPr>
                <w:rFonts w:ascii="Arial" w:hAnsi="Arial" w:cs="Arial"/>
                <w:sz w:val="20"/>
                <w:szCs w:val="20"/>
                <w:lang w:val="en-GB"/>
              </w:rPr>
              <w:t>2020</w:t>
            </w:r>
            <w:r w:rsidRPr="009B39EC">
              <w:rPr>
                <w:rFonts w:ascii="Arial" w:hAnsi="Arial" w:cs="Arial"/>
                <w:sz w:val="20"/>
                <w:szCs w:val="20"/>
                <w:lang w:val="en-GB"/>
              </w:rPr>
              <w:t>,</w:t>
            </w:r>
            <w:r w:rsidR="00080927" w:rsidRPr="009B39EC">
              <w:rPr>
                <w:rFonts w:ascii="Arial" w:hAnsi="Arial" w:cs="Arial"/>
                <w:sz w:val="20"/>
                <w:szCs w:val="20"/>
                <w:lang w:val="en-GB"/>
              </w:rPr>
              <w:t xml:space="preserve"> </w:t>
            </w:r>
            <w:r w:rsidR="00AF3D0D" w:rsidRPr="009B39EC">
              <w:rPr>
                <w:rFonts w:ascii="Arial" w:hAnsi="Arial" w:cs="Arial"/>
                <w:sz w:val="20"/>
                <w:szCs w:val="20"/>
                <w:lang w:val="en-GB"/>
              </w:rPr>
              <w:t xml:space="preserve">aimed to use the Social Fund </w:t>
            </w:r>
            <w:r w:rsidR="0015556E" w:rsidRPr="009B39EC">
              <w:rPr>
                <w:rFonts w:ascii="Arial" w:hAnsi="Arial" w:cs="Arial"/>
                <w:sz w:val="20"/>
                <w:szCs w:val="20"/>
                <w:lang w:val="en-GB"/>
              </w:rPr>
              <w:t>money</w:t>
            </w:r>
            <w:r w:rsidR="00AF3D0D" w:rsidRPr="009B39EC">
              <w:rPr>
                <w:rFonts w:ascii="Arial" w:hAnsi="Arial" w:cs="Arial"/>
                <w:sz w:val="20"/>
                <w:szCs w:val="20"/>
                <w:lang w:val="en-GB"/>
              </w:rPr>
              <w:t xml:space="preserve"> for the provision of emergency services </w:t>
            </w:r>
            <w:r w:rsidRPr="009B39EC">
              <w:rPr>
                <w:rFonts w:ascii="Arial" w:hAnsi="Arial" w:cs="Arial"/>
                <w:sz w:val="20"/>
                <w:szCs w:val="20"/>
                <w:lang w:val="en-GB"/>
              </w:rPr>
              <w:t xml:space="preserve">to women victims of </w:t>
            </w:r>
            <w:r w:rsidR="00AF3D0D" w:rsidRPr="009B39EC">
              <w:rPr>
                <w:rFonts w:ascii="Arial" w:hAnsi="Arial" w:cs="Arial"/>
                <w:sz w:val="20"/>
                <w:szCs w:val="20"/>
                <w:lang w:val="en-GB"/>
              </w:rPr>
              <w:t>violence or domestic violence.</w:t>
            </w:r>
            <w:r w:rsidR="000E6DC3" w:rsidRPr="009B39EC">
              <w:rPr>
                <w:rFonts w:ascii="Arial" w:hAnsi="Arial" w:cs="Arial"/>
                <w:sz w:val="20"/>
                <w:szCs w:val="20"/>
                <w:lang w:val="en-GB"/>
              </w:rPr>
              <w:t xml:space="preserve"> </w:t>
            </w:r>
            <w:r w:rsidR="00AF3D0D" w:rsidRPr="009B39EC">
              <w:rPr>
                <w:rFonts w:ascii="Arial" w:hAnsi="Arial" w:cs="Arial"/>
                <w:sz w:val="20"/>
                <w:szCs w:val="20"/>
                <w:lang w:val="en-GB"/>
              </w:rPr>
              <w:t xml:space="preserve">In 2021, the </w:t>
            </w:r>
            <w:r w:rsidR="0015556E" w:rsidRPr="009B39EC">
              <w:rPr>
                <w:rFonts w:ascii="Arial" w:hAnsi="Arial" w:cs="Arial"/>
                <w:sz w:val="20"/>
                <w:szCs w:val="20"/>
                <w:lang w:val="en-GB"/>
              </w:rPr>
              <w:t xml:space="preserve">total amount from the </w:t>
            </w:r>
            <w:r w:rsidR="006134B9" w:rsidRPr="009B39EC">
              <w:rPr>
                <w:rFonts w:ascii="Arial" w:hAnsi="Arial" w:cs="Arial"/>
                <w:sz w:val="20"/>
                <w:szCs w:val="20"/>
                <w:lang w:val="en-GB"/>
              </w:rPr>
              <w:t xml:space="preserve">Social Fund allocated to four </w:t>
            </w:r>
            <w:r w:rsidR="006134B9" w:rsidRPr="009B39EC">
              <w:rPr>
                <w:rFonts w:ascii="Arial" w:hAnsi="Arial" w:cs="Arial"/>
                <w:sz w:val="20"/>
                <w:szCs w:val="20"/>
                <w:lang w:val="en-GB"/>
              </w:rPr>
              <w:lastRenderedPageBreak/>
              <w:t xml:space="preserve">municipalities </w:t>
            </w:r>
            <w:r w:rsidR="0015556E" w:rsidRPr="009B39EC">
              <w:rPr>
                <w:rFonts w:ascii="Arial" w:hAnsi="Arial" w:cs="Arial"/>
                <w:sz w:val="20"/>
                <w:szCs w:val="20"/>
                <w:lang w:val="en-GB"/>
              </w:rPr>
              <w:t xml:space="preserve">to be used </w:t>
            </w:r>
            <w:r w:rsidR="006134B9" w:rsidRPr="009B39EC">
              <w:rPr>
                <w:rFonts w:ascii="Arial" w:hAnsi="Arial" w:cs="Arial"/>
                <w:sz w:val="20"/>
                <w:szCs w:val="20"/>
                <w:lang w:val="en-GB"/>
              </w:rPr>
              <w:t>for the purpose</w:t>
            </w:r>
            <w:r w:rsidR="0015556E" w:rsidRPr="009B39EC">
              <w:rPr>
                <w:rFonts w:ascii="Arial" w:hAnsi="Arial" w:cs="Arial"/>
                <w:sz w:val="20"/>
                <w:szCs w:val="20"/>
                <w:lang w:val="en-GB"/>
              </w:rPr>
              <w:t>s</w:t>
            </w:r>
            <w:r w:rsidR="006134B9" w:rsidRPr="009B39EC">
              <w:rPr>
                <w:rFonts w:ascii="Arial" w:hAnsi="Arial" w:cs="Arial"/>
                <w:sz w:val="20"/>
                <w:szCs w:val="20"/>
                <w:lang w:val="en-GB"/>
              </w:rPr>
              <w:t xml:space="preserve"> of </w:t>
            </w:r>
            <w:r w:rsidR="00AF3D0D" w:rsidRPr="009B39EC">
              <w:rPr>
                <w:rFonts w:ascii="Arial" w:hAnsi="Arial" w:cs="Arial"/>
                <w:sz w:val="20"/>
                <w:szCs w:val="20"/>
                <w:lang w:val="en-GB"/>
              </w:rPr>
              <w:t xml:space="preserve">services </w:t>
            </w:r>
            <w:r w:rsidR="006134B9" w:rsidRPr="009B39EC">
              <w:rPr>
                <w:rFonts w:ascii="Arial" w:hAnsi="Arial" w:cs="Arial"/>
                <w:sz w:val="20"/>
                <w:szCs w:val="20"/>
                <w:lang w:val="en-GB"/>
              </w:rPr>
              <w:t>to</w:t>
            </w:r>
            <w:r w:rsidR="00AF3D0D" w:rsidRPr="009B39EC">
              <w:rPr>
                <w:rFonts w:ascii="Arial" w:hAnsi="Arial" w:cs="Arial"/>
                <w:sz w:val="20"/>
                <w:szCs w:val="20"/>
                <w:lang w:val="en-GB"/>
              </w:rPr>
              <w:t xml:space="preserve"> victims of domestic violence and persons at risk </w:t>
            </w:r>
            <w:r w:rsidR="006134B9" w:rsidRPr="009B39EC">
              <w:rPr>
                <w:rFonts w:ascii="Arial" w:hAnsi="Arial" w:cs="Arial"/>
                <w:sz w:val="20"/>
                <w:szCs w:val="20"/>
                <w:lang w:val="en-GB"/>
              </w:rPr>
              <w:t>is 1</w:t>
            </w:r>
            <w:r w:rsidR="000E6DC3" w:rsidRPr="009B39EC">
              <w:rPr>
                <w:rFonts w:ascii="Arial" w:hAnsi="Arial" w:cs="Arial"/>
                <w:sz w:val="20"/>
                <w:szCs w:val="20"/>
                <w:lang w:val="en-GB"/>
              </w:rPr>
              <w:t xml:space="preserve">1,258,165 </w:t>
            </w:r>
            <w:r w:rsidR="0015556E" w:rsidRPr="009B39EC">
              <w:rPr>
                <w:rFonts w:ascii="Arial" w:hAnsi="Arial" w:cs="Arial"/>
                <w:sz w:val="20"/>
                <w:szCs w:val="20"/>
                <w:lang w:val="en-GB"/>
              </w:rPr>
              <w:t xml:space="preserve">ALL </w:t>
            </w:r>
            <w:r w:rsidR="000E6DC3" w:rsidRPr="009B39EC">
              <w:rPr>
                <w:rFonts w:ascii="Arial" w:hAnsi="Arial" w:cs="Arial"/>
                <w:sz w:val="20"/>
                <w:szCs w:val="20"/>
                <w:lang w:val="en-GB"/>
              </w:rPr>
              <w:t>(</w:t>
            </w:r>
            <w:r w:rsidR="006134B9" w:rsidRPr="009B39EC">
              <w:rPr>
                <w:rFonts w:ascii="Arial" w:hAnsi="Arial" w:cs="Arial"/>
                <w:sz w:val="20"/>
                <w:szCs w:val="20"/>
                <w:lang w:val="en-GB"/>
              </w:rPr>
              <w:t>about</w:t>
            </w:r>
            <w:r w:rsidR="000E6DC3" w:rsidRPr="009B39EC">
              <w:rPr>
                <w:rFonts w:ascii="Arial" w:hAnsi="Arial" w:cs="Arial"/>
                <w:sz w:val="20"/>
                <w:szCs w:val="20"/>
                <w:lang w:val="en-GB"/>
              </w:rPr>
              <w:t xml:space="preserve"> 94 </w:t>
            </w:r>
            <w:r w:rsidR="006134B9" w:rsidRPr="009B39EC">
              <w:rPr>
                <w:rFonts w:ascii="Arial" w:hAnsi="Arial" w:cs="Arial"/>
                <w:sz w:val="20"/>
                <w:szCs w:val="20"/>
                <w:lang w:val="en-GB"/>
              </w:rPr>
              <w:t>thousand Euro</w:t>
            </w:r>
            <w:r w:rsidR="000E6DC3" w:rsidRPr="009B39EC">
              <w:rPr>
                <w:rFonts w:ascii="Arial" w:hAnsi="Arial" w:cs="Arial"/>
                <w:sz w:val="20"/>
                <w:szCs w:val="20"/>
                <w:lang w:val="en-GB"/>
              </w:rPr>
              <w:t xml:space="preserve">). </w:t>
            </w:r>
            <w:r w:rsidR="006134B9" w:rsidRPr="009B39EC">
              <w:rPr>
                <w:rFonts w:ascii="Arial" w:hAnsi="Arial" w:cs="Arial"/>
                <w:sz w:val="20"/>
                <w:szCs w:val="20"/>
                <w:lang w:val="en-GB"/>
              </w:rPr>
              <w:t xml:space="preserve">More detailed information on these funds is provided in the table in Annex </w:t>
            </w:r>
            <w:r w:rsidR="004E1005" w:rsidRPr="009B39EC">
              <w:rPr>
                <w:rFonts w:ascii="Arial" w:hAnsi="Arial" w:cs="Arial"/>
                <w:sz w:val="20"/>
                <w:szCs w:val="20"/>
                <w:lang w:val="en-GB"/>
              </w:rPr>
              <w:t>3</w:t>
            </w:r>
            <w:r w:rsidR="000E6DC3" w:rsidRPr="009B39EC">
              <w:rPr>
                <w:rFonts w:ascii="Arial" w:hAnsi="Arial" w:cs="Arial"/>
                <w:sz w:val="20"/>
                <w:szCs w:val="20"/>
                <w:lang w:val="en-GB"/>
              </w:rPr>
              <w:t xml:space="preserve">. </w:t>
            </w:r>
          </w:p>
          <w:p w14:paraId="238560B4" w14:textId="4EDB95B5" w:rsidR="00BF69F1" w:rsidRPr="009B39EC" w:rsidRDefault="00BF69F1" w:rsidP="0014262C">
            <w:pPr>
              <w:jc w:val="both"/>
              <w:rPr>
                <w:rFonts w:ascii="Arial" w:hAnsi="Arial" w:cs="Arial"/>
                <w:sz w:val="20"/>
                <w:szCs w:val="20"/>
                <w:lang w:val="en-GB"/>
              </w:rPr>
            </w:pPr>
          </w:p>
          <w:p w14:paraId="426456A8" w14:textId="0C6B27A3" w:rsidR="00614D82" w:rsidRPr="009B39EC" w:rsidRDefault="0015556E" w:rsidP="0014262C">
            <w:pPr>
              <w:jc w:val="both"/>
              <w:rPr>
                <w:rFonts w:ascii="Arial" w:hAnsi="Arial" w:cs="Arial"/>
                <w:sz w:val="20"/>
                <w:szCs w:val="20"/>
                <w:lang w:val="en-GB"/>
              </w:rPr>
            </w:pPr>
            <w:r w:rsidRPr="009B39EC">
              <w:rPr>
                <w:rFonts w:ascii="Arial" w:hAnsi="Arial" w:cs="Arial"/>
                <w:sz w:val="20"/>
                <w:szCs w:val="20"/>
                <w:lang w:val="en-GB"/>
              </w:rPr>
              <w:t xml:space="preserve">Regarding </w:t>
            </w:r>
            <w:r w:rsidR="006134B9" w:rsidRPr="009B39EC">
              <w:rPr>
                <w:rFonts w:ascii="Arial" w:hAnsi="Arial" w:cs="Arial"/>
                <w:sz w:val="20"/>
                <w:szCs w:val="20"/>
                <w:lang w:val="en-GB"/>
              </w:rPr>
              <w:t>support for women who have been granted protection order</w:t>
            </w:r>
            <w:r w:rsidRPr="009B39EC">
              <w:rPr>
                <w:rFonts w:ascii="Arial" w:hAnsi="Arial" w:cs="Arial"/>
                <w:sz w:val="20"/>
                <w:szCs w:val="20"/>
                <w:lang w:val="en-GB"/>
              </w:rPr>
              <w:t>s:</w:t>
            </w:r>
            <w:r w:rsidR="007B0095" w:rsidRPr="009B39EC">
              <w:rPr>
                <w:rFonts w:ascii="Arial" w:hAnsi="Arial" w:cs="Arial"/>
                <w:sz w:val="20"/>
                <w:szCs w:val="20"/>
                <w:lang w:val="en-GB"/>
              </w:rPr>
              <w:t xml:space="preserve"> </w:t>
            </w:r>
            <w:r w:rsidRPr="009B39EC">
              <w:rPr>
                <w:rFonts w:ascii="Arial" w:hAnsi="Arial" w:cs="Arial"/>
                <w:sz w:val="20"/>
                <w:szCs w:val="20"/>
                <w:lang w:val="en-GB"/>
              </w:rPr>
              <w:t xml:space="preserve">monthly payments of 3000 ALL (about 25 Euro) each a month were received by 408 in 2018, </w:t>
            </w:r>
            <w:r w:rsidR="00BF69F1" w:rsidRPr="009B39EC">
              <w:rPr>
                <w:rFonts w:ascii="Arial" w:hAnsi="Arial" w:cs="Arial"/>
                <w:sz w:val="20"/>
                <w:szCs w:val="20"/>
                <w:lang w:val="en-GB"/>
              </w:rPr>
              <w:t xml:space="preserve">509 </w:t>
            </w:r>
            <w:r w:rsidR="007B0095" w:rsidRPr="009B39EC">
              <w:rPr>
                <w:rFonts w:ascii="Arial" w:hAnsi="Arial" w:cs="Arial"/>
                <w:sz w:val="20"/>
                <w:szCs w:val="20"/>
                <w:lang w:val="en-GB"/>
              </w:rPr>
              <w:t>women</w:t>
            </w:r>
            <w:r w:rsidRPr="009B39EC">
              <w:rPr>
                <w:rFonts w:ascii="Arial" w:hAnsi="Arial" w:cs="Arial"/>
                <w:sz w:val="20"/>
                <w:szCs w:val="20"/>
                <w:lang w:val="en-GB"/>
              </w:rPr>
              <w:t xml:space="preserve"> in 2019,</w:t>
            </w:r>
            <w:r w:rsidR="00BF69F1" w:rsidRPr="009B39EC">
              <w:rPr>
                <w:rFonts w:ascii="Arial" w:hAnsi="Arial" w:cs="Arial"/>
                <w:sz w:val="20"/>
                <w:szCs w:val="20"/>
                <w:lang w:val="en-GB"/>
              </w:rPr>
              <w:t xml:space="preserve"> </w:t>
            </w:r>
            <w:r w:rsidR="007B0095" w:rsidRPr="009B39EC">
              <w:rPr>
                <w:rFonts w:ascii="Arial" w:hAnsi="Arial" w:cs="Arial"/>
                <w:sz w:val="20"/>
                <w:szCs w:val="20"/>
                <w:lang w:val="en-GB"/>
              </w:rPr>
              <w:t>and</w:t>
            </w:r>
            <w:r w:rsidR="00BF69F1" w:rsidRPr="009B39EC">
              <w:rPr>
                <w:rFonts w:ascii="Arial" w:hAnsi="Arial" w:cs="Arial"/>
                <w:sz w:val="20"/>
                <w:szCs w:val="20"/>
                <w:lang w:val="en-GB"/>
              </w:rPr>
              <w:t xml:space="preserve"> </w:t>
            </w:r>
            <w:r w:rsidRPr="009B39EC">
              <w:rPr>
                <w:rFonts w:ascii="Arial" w:hAnsi="Arial" w:cs="Arial"/>
                <w:sz w:val="20"/>
                <w:szCs w:val="20"/>
                <w:lang w:val="en-GB"/>
              </w:rPr>
              <w:t>603 women in 2020</w:t>
            </w:r>
            <w:r w:rsidR="00BF69F1" w:rsidRPr="009B39EC">
              <w:rPr>
                <w:rFonts w:ascii="Arial" w:hAnsi="Arial" w:cs="Arial"/>
                <w:sz w:val="20"/>
                <w:szCs w:val="20"/>
                <w:lang w:val="en-GB"/>
              </w:rPr>
              <w:t xml:space="preserve">. </w:t>
            </w:r>
            <w:r w:rsidR="007B0095" w:rsidRPr="009B39EC">
              <w:rPr>
                <w:rFonts w:ascii="Arial" w:hAnsi="Arial" w:cs="Arial"/>
                <w:sz w:val="20"/>
                <w:szCs w:val="20"/>
                <w:lang w:val="en-GB"/>
              </w:rPr>
              <w:t xml:space="preserve">The number of victims of trafficking in receipt of </w:t>
            </w:r>
            <w:r w:rsidRPr="009B39EC">
              <w:rPr>
                <w:rFonts w:ascii="Arial" w:hAnsi="Arial" w:cs="Arial"/>
                <w:sz w:val="20"/>
                <w:szCs w:val="20"/>
                <w:lang w:val="en-GB"/>
              </w:rPr>
              <w:t xml:space="preserve">monthly </w:t>
            </w:r>
            <w:r w:rsidR="007B0095" w:rsidRPr="009B39EC">
              <w:rPr>
                <w:rFonts w:ascii="Arial" w:hAnsi="Arial" w:cs="Arial"/>
                <w:sz w:val="20"/>
                <w:szCs w:val="20"/>
                <w:lang w:val="en-GB"/>
              </w:rPr>
              <w:t xml:space="preserve">payments of </w:t>
            </w:r>
            <w:r w:rsidR="00BF69F1" w:rsidRPr="009B39EC">
              <w:rPr>
                <w:rFonts w:ascii="Arial" w:hAnsi="Arial" w:cs="Arial"/>
                <w:sz w:val="20"/>
                <w:szCs w:val="20"/>
                <w:lang w:val="en-GB"/>
              </w:rPr>
              <w:t xml:space="preserve">3000 </w:t>
            </w:r>
            <w:r w:rsidRPr="009B39EC">
              <w:rPr>
                <w:rFonts w:ascii="Arial" w:hAnsi="Arial" w:cs="Arial"/>
                <w:sz w:val="20"/>
                <w:szCs w:val="20"/>
                <w:lang w:val="en-GB"/>
              </w:rPr>
              <w:t xml:space="preserve">ALL </w:t>
            </w:r>
            <w:r w:rsidR="00BF69F1" w:rsidRPr="009B39EC">
              <w:rPr>
                <w:rFonts w:ascii="Arial" w:hAnsi="Arial" w:cs="Arial"/>
                <w:sz w:val="20"/>
                <w:szCs w:val="20"/>
                <w:lang w:val="en-GB"/>
              </w:rPr>
              <w:t>(</w:t>
            </w:r>
            <w:r w:rsidR="007B0095" w:rsidRPr="009B39EC">
              <w:rPr>
                <w:rFonts w:ascii="Arial" w:hAnsi="Arial" w:cs="Arial"/>
                <w:sz w:val="20"/>
                <w:szCs w:val="20"/>
                <w:lang w:val="en-GB"/>
              </w:rPr>
              <w:t>about</w:t>
            </w:r>
            <w:r w:rsidR="00BF69F1" w:rsidRPr="009B39EC">
              <w:rPr>
                <w:rFonts w:ascii="Arial" w:hAnsi="Arial" w:cs="Arial"/>
                <w:sz w:val="20"/>
                <w:szCs w:val="20"/>
                <w:lang w:val="en-GB"/>
              </w:rPr>
              <w:t xml:space="preserve"> 25 euro) </w:t>
            </w:r>
            <w:r w:rsidR="007B0095" w:rsidRPr="009B39EC">
              <w:rPr>
                <w:rFonts w:ascii="Arial" w:hAnsi="Arial" w:cs="Arial"/>
                <w:sz w:val="20"/>
                <w:szCs w:val="20"/>
                <w:lang w:val="en-GB"/>
              </w:rPr>
              <w:t xml:space="preserve">was </w:t>
            </w:r>
            <w:r w:rsidR="00BF69F1" w:rsidRPr="009B39EC">
              <w:rPr>
                <w:rFonts w:ascii="Arial" w:hAnsi="Arial" w:cs="Arial"/>
                <w:sz w:val="20"/>
                <w:szCs w:val="20"/>
                <w:lang w:val="en-GB"/>
              </w:rPr>
              <w:t xml:space="preserve">11 </w:t>
            </w:r>
            <w:r w:rsidR="007B0095" w:rsidRPr="009B39EC">
              <w:rPr>
                <w:rFonts w:ascii="Arial" w:hAnsi="Arial" w:cs="Arial"/>
                <w:sz w:val="20"/>
                <w:szCs w:val="20"/>
                <w:lang w:val="en-GB"/>
              </w:rPr>
              <w:t>in</w:t>
            </w:r>
            <w:r w:rsidR="00BF69F1" w:rsidRPr="009B39EC">
              <w:rPr>
                <w:rFonts w:ascii="Arial" w:hAnsi="Arial" w:cs="Arial"/>
                <w:sz w:val="20"/>
                <w:szCs w:val="20"/>
                <w:lang w:val="en-GB"/>
              </w:rPr>
              <w:t xml:space="preserve"> 2018, 9 </w:t>
            </w:r>
            <w:r w:rsidR="007B0095" w:rsidRPr="009B39EC">
              <w:rPr>
                <w:rFonts w:ascii="Arial" w:hAnsi="Arial" w:cs="Arial"/>
                <w:sz w:val="20"/>
                <w:szCs w:val="20"/>
                <w:lang w:val="en-GB"/>
              </w:rPr>
              <w:t>in</w:t>
            </w:r>
            <w:r w:rsidR="00BF69F1" w:rsidRPr="009B39EC">
              <w:rPr>
                <w:rFonts w:ascii="Arial" w:hAnsi="Arial" w:cs="Arial"/>
                <w:sz w:val="20"/>
                <w:szCs w:val="20"/>
                <w:lang w:val="en-GB"/>
              </w:rPr>
              <w:t xml:space="preserve"> 2019 </w:t>
            </w:r>
            <w:r w:rsidR="007B0095" w:rsidRPr="009B39EC">
              <w:rPr>
                <w:rFonts w:ascii="Arial" w:hAnsi="Arial" w:cs="Arial"/>
                <w:sz w:val="20"/>
                <w:szCs w:val="20"/>
                <w:lang w:val="en-GB"/>
              </w:rPr>
              <w:t xml:space="preserve">and </w:t>
            </w:r>
            <w:r w:rsidR="00614D82" w:rsidRPr="009B39EC">
              <w:rPr>
                <w:rFonts w:ascii="Arial" w:hAnsi="Arial" w:cs="Arial"/>
                <w:sz w:val="20"/>
                <w:szCs w:val="20"/>
                <w:lang w:val="en-GB"/>
              </w:rPr>
              <w:t xml:space="preserve">10 </w:t>
            </w:r>
            <w:r w:rsidR="007B0095" w:rsidRPr="009B39EC">
              <w:rPr>
                <w:rFonts w:ascii="Arial" w:hAnsi="Arial" w:cs="Arial"/>
                <w:sz w:val="20"/>
                <w:szCs w:val="20"/>
                <w:lang w:val="en-GB"/>
              </w:rPr>
              <w:t xml:space="preserve">in </w:t>
            </w:r>
            <w:r w:rsidR="00BF69F1" w:rsidRPr="009B39EC">
              <w:rPr>
                <w:rFonts w:ascii="Arial" w:hAnsi="Arial" w:cs="Arial"/>
                <w:sz w:val="20"/>
                <w:szCs w:val="20"/>
                <w:lang w:val="en-GB"/>
              </w:rPr>
              <w:t>2020</w:t>
            </w:r>
            <w:r w:rsidR="00614D82" w:rsidRPr="009B39EC">
              <w:rPr>
                <w:rFonts w:ascii="Arial" w:hAnsi="Arial" w:cs="Arial"/>
                <w:sz w:val="20"/>
                <w:szCs w:val="20"/>
                <w:lang w:val="en-GB"/>
              </w:rPr>
              <w:t xml:space="preserve">. </w:t>
            </w:r>
          </w:p>
          <w:p w14:paraId="7AF712E1" w14:textId="77777777" w:rsidR="00614D82" w:rsidRPr="009B39EC" w:rsidRDefault="00614D82" w:rsidP="0014262C">
            <w:pPr>
              <w:jc w:val="both"/>
              <w:rPr>
                <w:rFonts w:ascii="Arial" w:hAnsi="Arial" w:cs="Arial"/>
                <w:sz w:val="20"/>
                <w:szCs w:val="20"/>
                <w:lang w:val="en-GB"/>
              </w:rPr>
            </w:pPr>
          </w:p>
          <w:p w14:paraId="590B230F" w14:textId="3EED549B" w:rsidR="00BF69F1" w:rsidRPr="009B39EC" w:rsidRDefault="0029550C" w:rsidP="0014262C">
            <w:pPr>
              <w:jc w:val="both"/>
              <w:rPr>
                <w:rFonts w:ascii="Arial" w:hAnsi="Arial" w:cs="Arial"/>
                <w:sz w:val="20"/>
                <w:szCs w:val="20"/>
                <w:lang w:val="en-GB"/>
              </w:rPr>
            </w:pPr>
            <w:r w:rsidRPr="009B39EC">
              <w:rPr>
                <w:rFonts w:ascii="Arial" w:hAnsi="Arial" w:cs="Arial"/>
                <w:sz w:val="20"/>
                <w:szCs w:val="20"/>
                <w:lang w:val="en-GB"/>
              </w:rPr>
              <w:t xml:space="preserve">In </w:t>
            </w:r>
            <w:r w:rsidR="00614D82" w:rsidRPr="009B39EC">
              <w:rPr>
                <w:rFonts w:ascii="Arial" w:hAnsi="Arial" w:cs="Arial"/>
                <w:sz w:val="20"/>
                <w:szCs w:val="20"/>
                <w:lang w:val="en-GB"/>
              </w:rPr>
              <w:t xml:space="preserve">2019, 4932 </w:t>
            </w:r>
            <w:r w:rsidRPr="009B39EC">
              <w:rPr>
                <w:rFonts w:ascii="Arial" w:hAnsi="Arial" w:cs="Arial"/>
                <w:sz w:val="20"/>
                <w:szCs w:val="20"/>
                <w:lang w:val="en-GB"/>
              </w:rPr>
              <w:t xml:space="preserve">women </w:t>
            </w:r>
            <w:r w:rsidR="0015556E" w:rsidRPr="009B39EC">
              <w:rPr>
                <w:rFonts w:ascii="Arial" w:hAnsi="Arial" w:cs="Arial"/>
                <w:sz w:val="20"/>
                <w:szCs w:val="20"/>
                <w:lang w:val="en-GB"/>
              </w:rPr>
              <w:t>benefitted from</w:t>
            </w:r>
            <w:r w:rsidRPr="009B39EC">
              <w:rPr>
                <w:rFonts w:ascii="Arial" w:hAnsi="Arial" w:cs="Arial"/>
                <w:sz w:val="20"/>
                <w:szCs w:val="20"/>
                <w:lang w:val="en-GB"/>
              </w:rPr>
              <w:t xml:space="preserve"> the Economic Assistance Scheme</w:t>
            </w:r>
            <w:r w:rsidR="00614D82" w:rsidRPr="009B39EC">
              <w:rPr>
                <w:rFonts w:ascii="Arial" w:hAnsi="Arial" w:cs="Arial"/>
                <w:sz w:val="20"/>
                <w:szCs w:val="20"/>
                <w:lang w:val="en-GB"/>
              </w:rPr>
              <w:t xml:space="preserve"> (</w:t>
            </w:r>
            <w:r w:rsidRPr="009B39EC">
              <w:rPr>
                <w:rFonts w:ascii="Arial" w:hAnsi="Arial" w:cs="Arial"/>
                <w:sz w:val="20"/>
                <w:szCs w:val="20"/>
                <w:lang w:val="en-GB"/>
              </w:rPr>
              <w:t>AE</w:t>
            </w:r>
            <w:r w:rsidR="00614D82" w:rsidRPr="009B39EC">
              <w:rPr>
                <w:rFonts w:ascii="Arial" w:hAnsi="Arial" w:cs="Arial"/>
                <w:sz w:val="20"/>
                <w:szCs w:val="20"/>
                <w:lang w:val="en-GB"/>
              </w:rPr>
              <w:t xml:space="preserve">). </w:t>
            </w:r>
            <w:r w:rsidRPr="009B39EC">
              <w:rPr>
                <w:rFonts w:ascii="Arial" w:hAnsi="Arial" w:cs="Arial"/>
                <w:sz w:val="20"/>
                <w:szCs w:val="20"/>
                <w:lang w:val="en-GB"/>
              </w:rPr>
              <w:t xml:space="preserve">Due to the state of natural disaster </w:t>
            </w:r>
            <w:r w:rsidR="00546CC5" w:rsidRPr="009B39EC">
              <w:rPr>
                <w:rFonts w:ascii="Arial" w:hAnsi="Arial" w:cs="Arial"/>
                <w:sz w:val="20"/>
                <w:szCs w:val="20"/>
                <w:lang w:val="en-GB"/>
              </w:rPr>
              <w:t xml:space="preserve">declared </w:t>
            </w:r>
            <w:r w:rsidRPr="009B39EC">
              <w:rPr>
                <w:rFonts w:ascii="Arial" w:hAnsi="Arial" w:cs="Arial"/>
                <w:sz w:val="20"/>
                <w:szCs w:val="20"/>
                <w:lang w:val="en-GB"/>
              </w:rPr>
              <w:t xml:space="preserve">in the country, about 63,510 families </w:t>
            </w:r>
            <w:r w:rsidR="00445CB5" w:rsidRPr="009B39EC">
              <w:rPr>
                <w:rFonts w:ascii="Arial" w:hAnsi="Arial" w:cs="Arial"/>
                <w:sz w:val="20"/>
                <w:szCs w:val="20"/>
                <w:lang w:val="en-GB"/>
              </w:rPr>
              <w:t>benefitted</w:t>
            </w:r>
            <w:r w:rsidRPr="009B39EC">
              <w:rPr>
                <w:rFonts w:ascii="Arial" w:hAnsi="Arial" w:cs="Arial"/>
                <w:sz w:val="20"/>
                <w:szCs w:val="20"/>
                <w:lang w:val="en-GB"/>
              </w:rPr>
              <w:t xml:space="preserve"> double the usual </w:t>
            </w:r>
            <w:r w:rsidR="00546CC5" w:rsidRPr="009B39EC">
              <w:rPr>
                <w:rFonts w:ascii="Arial" w:hAnsi="Arial" w:cs="Arial"/>
                <w:sz w:val="20"/>
                <w:szCs w:val="20"/>
                <w:lang w:val="en-GB"/>
              </w:rPr>
              <w:t xml:space="preserve">amount of </w:t>
            </w:r>
            <w:r w:rsidRPr="009B39EC">
              <w:rPr>
                <w:rFonts w:ascii="Arial" w:hAnsi="Arial" w:cs="Arial"/>
                <w:sz w:val="20"/>
                <w:szCs w:val="20"/>
                <w:lang w:val="en-GB"/>
              </w:rPr>
              <w:t xml:space="preserve">Economic Assistance payments. In addition, </w:t>
            </w:r>
            <w:r w:rsidR="00614D82" w:rsidRPr="009B39EC">
              <w:rPr>
                <w:rFonts w:ascii="Arial" w:hAnsi="Arial" w:cs="Arial"/>
                <w:sz w:val="20"/>
                <w:szCs w:val="20"/>
                <w:lang w:val="en-GB"/>
              </w:rPr>
              <w:t xml:space="preserve">4,524 </w:t>
            </w:r>
            <w:r w:rsidRPr="009B39EC">
              <w:rPr>
                <w:rFonts w:ascii="Arial" w:hAnsi="Arial" w:cs="Arial"/>
                <w:sz w:val="20"/>
                <w:szCs w:val="20"/>
                <w:lang w:val="en-GB"/>
              </w:rPr>
              <w:t xml:space="preserve">families who had applied for Economic Assistance benefits in the period between July 2019 and March 2020 and whose application for </w:t>
            </w:r>
            <w:r w:rsidR="0015556E" w:rsidRPr="009B39EC">
              <w:rPr>
                <w:rFonts w:ascii="Arial" w:hAnsi="Arial" w:cs="Arial"/>
                <w:sz w:val="20"/>
                <w:szCs w:val="20"/>
                <w:lang w:val="en-GB"/>
              </w:rPr>
              <w:t xml:space="preserve">economic assistance </w:t>
            </w:r>
            <w:r w:rsidRPr="009B39EC">
              <w:rPr>
                <w:rFonts w:ascii="Arial" w:hAnsi="Arial" w:cs="Arial"/>
                <w:sz w:val="20"/>
                <w:szCs w:val="20"/>
                <w:lang w:val="en-GB"/>
              </w:rPr>
              <w:t xml:space="preserve">had not been granted, received a payment of </w:t>
            </w:r>
            <w:r w:rsidR="00614D82" w:rsidRPr="009B39EC">
              <w:rPr>
                <w:rFonts w:ascii="Arial" w:hAnsi="Arial" w:cs="Arial"/>
                <w:sz w:val="20"/>
                <w:szCs w:val="20"/>
                <w:lang w:val="en-GB"/>
              </w:rPr>
              <w:t>16,000</w:t>
            </w:r>
            <w:r w:rsidR="00546CC5" w:rsidRPr="009B39EC">
              <w:rPr>
                <w:rFonts w:ascii="Arial" w:hAnsi="Arial" w:cs="Arial"/>
                <w:sz w:val="20"/>
                <w:szCs w:val="20"/>
                <w:lang w:val="en-GB"/>
              </w:rPr>
              <w:t xml:space="preserve"> ALL</w:t>
            </w:r>
            <w:r w:rsidRPr="009B39EC">
              <w:rPr>
                <w:rFonts w:ascii="Arial" w:hAnsi="Arial" w:cs="Arial"/>
                <w:sz w:val="20"/>
                <w:szCs w:val="20"/>
                <w:lang w:val="en-GB"/>
              </w:rPr>
              <w:t>, even though</w:t>
            </w:r>
            <w:r w:rsidR="00546CC5" w:rsidRPr="009B39EC">
              <w:rPr>
                <w:rFonts w:ascii="Arial" w:hAnsi="Arial" w:cs="Arial"/>
                <w:sz w:val="20"/>
                <w:szCs w:val="20"/>
                <w:lang w:val="en-GB"/>
              </w:rPr>
              <w:t>,</w:t>
            </w:r>
            <w:r w:rsidRPr="009B39EC">
              <w:rPr>
                <w:rFonts w:ascii="Arial" w:hAnsi="Arial" w:cs="Arial"/>
                <w:sz w:val="20"/>
                <w:szCs w:val="20"/>
                <w:lang w:val="en-GB"/>
              </w:rPr>
              <w:t xml:space="preserve"> </w:t>
            </w:r>
            <w:r w:rsidR="00546CC5" w:rsidRPr="009B39EC">
              <w:rPr>
                <w:rFonts w:ascii="Arial" w:hAnsi="Arial" w:cs="Arial"/>
                <w:sz w:val="20"/>
                <w:szCs w:val="20"/>
                <w:lang w:val="en-GB"/>
              </w:rPr>
              <w:t xml:space="preserve">in principle, </w:t>
            </w:r>
            <w:r w:rsidRPr="009B39EC">
              <w:rPr>
                <w:rFonts w:ascii="Arial" w:hAnsi="Arial" w:cs="Arial"/>
                <w:sz w:val="20"/>
                <w:szCs w:val="20"/>
                <w:lang w:val="en-GB"/>
              </w:rPr>
              <w:t xml:space="preserve">they </w:t>
            </w:r>
            <w:r w:rsidR="00546CC5" w:rsidRPr="009B39EC">
              <w:rPr>
                <w:rFonts w:ascii="Arial" w:hAnsi="Arial" w:cs="Arial"/>
                <w:sz w:val="20"/>
                <w:szCs w:val="20"/>
                <w:lang w:val="en-GB"/>
              </w:rPr>
              <w:t xml:space="preserve">were not eligible for the </w:t>
            </w:r>
            <w:r w:rsidRPr="009B39EC">
              <w:rPr>
                <w:rFonts w:ascii="Arial" w:hAnsi="Arial" w:cs="Arial"/>
                <w:sz w:val="20"/>
                <w:szCs w:val="20"/>
                <w:lang w:val="en-GB"/>
              </w:rPr>
              <w:t xml:space="preserve">AE scheme. In 2020, the number of women heads of household in receipt of economic assistance payments </w:t>
            </w:r>
            <w:r w:rsidR="00445CB5" w:rsidRPr="009B39EC">
              <w:rPr>
                <w:rFonts w:ascii="Arial" w:hAnsi="Arial" w:cs="Arial"/>
                <w:sz w:val="20"/>
                <w:szCs w:val="20"/>
                <w:lang w:val="en-GB"/>
              </w:rPr>
              <w:t>increased</w:t>
            </w:r>
            <w:r w:rsidRPr="009B39EC">
              <w:rPr>
                <w:rFonts w:ascii="Arial" w:hAnsi="Arial" w:cs="Arial"/>
                <w:sz w:val="20"/>
                <w:szCs w:val="20"/>
                <w:lang w:val="en-GB"/>
              </w:rPr>
              <w:t xml:space="preserve"> by </w:t>
            </w:r>
            <w:r w:rsidR="00614D82" w:rsidRPr="009B39EC">
              <w:rPr>
                <w:rFonts w:ascii="Arial" w:hAnsi="Arial" w:cs="Arial"/>
                <w:sz w:val="20"/>
                <w:szCs w:val="20"/>
                <w:lang w:val="en-GB"/>
              </w:rPr>
              <w:t>32</w:t>
            </w:r>
            <w:r w:rsidR="007515B1" w:rsidRPr="009B39EC">
              <w:rPr>
                <w:rFonts w:ascii="Arial" w:hAnsi="Arial" w:cs="Arial"/>
                <w:sz w:val="20"/>
                <w:szCs w:val="20"/>
                <w:lang w:val="en-GB"/>
              </w:rPr>
              <w:t>%</w:t>
            </w:r>
            <w:r w:rsidR="00614D82" w:rsidRPr="009B39EC">
              <w:rPr>
                <w:rFonts w:ascii="Arial" w:hAnsi="Arial" w:cs="Arial"/>
                <w:sz w:val="20"/>
                <w:szCs w:val="20"/>
                <w:lang w:val="en-GB"/>
              </w:rPr>
              <w:t xml:space="preserve"> (</w:t>
            </w:r>
            <w:r w:rsidRPr="009B39EC">
              <w:rPr>
                <w:rFonts w:ascii="Arial" w:hAnsi="Arial" w:cs="Arial"/>
                <w:sz w:val="20"/>
                <w:szCs w:val="20"/>
                <w:lang w:val="en-GB"/>
              </w:rPr>
              <w:t xml:space="preserve">a total of </w:t>
            </w:r>
            <w:r w:rsidR="00614D82" w:rsidRPr="009B39EC">
              <w:rPr>
                <w:rFonts w:ascii="Arial" w:hAnsi="Arial" w:cs="Arial"/>
                <w:sz w:val="20"/>
                <w:szCs w:val="20"/>
                <w:lang w:val="en-GB"/>
              </w:rPr>
              <w:t xml:space="preserve">6,492 </w:t>
            </w:r>
            <w:r w:rsidR="008829FE" w:rsidRPr="009B39EC">
              <w:rPr>
                <w:rFonts w:ascii="Arial" w:hAnsi="Arial" w:cs="Arial"/>
                <w:sz w:val="20"/>
                <w:szCs w:val="20"/>
                <w:lang w:val="en-GB"/>
              </w:rPr>
              <w:t>women beneficiaries in that year</w:t>
            </w:r>
            <w:r w:rsidR="00614D82" w:rsidRPr="009B39EC">
              <w:rPr>
                <w:rFonts w:ascii="Arial" w:hAnsi="Arial" w:cs="Arial"/>
                <w:sz w:val="20"/>
                <w:szCs w:val="20"/>
                <w:lang w:val="en-GB"/>
              </w:rPr>
              <w:t>)</w:t>
            </w:r>
            <w:r w:rsidR="00546CC5" w:rsidRPr="009B39EC">
              <w:rPr>
                <w:rFonts w:ascii="Arial" w:hAnsi="Arial" w:cs="Arial"/>
                <w:sz w:val="20"/>
                <w:szCs w:val="20"/>
                <w:lang w:val="en-GB"/>
              </w:rPr>
              <w:t xml:space="preserve"> and </w:t>
            </w:r>
            <w:r w:rsidR="008829FE" w:rsidRPr="009B39EC">
              <w:rPr>
                <w:rFonts w:ascii="Arial" w:hAnsi="Arial" w:cs="Arial"/>
                <w:sz w:val="20"/>
                <w:szCs w:val="20"/>
                <w:lang w:val="en-GB"/>
              </w:rPr>
              <w:t xml:space="preserve">between March and June of the same year </w:t>
            </w:r>
            <w:r w:rsidR="00546CC5" w:rsidRPr="009B39EC">
              <w:rPr>
                <w:rFonts w:ascii="Arial" w:hAnsi="Arial" w:cs="Arial"/>
                <w:sz w:val="20"/>
                <w:szCs w:val="20"/>
                <w:lang w:val="en-GB"/>
              </w:rPr>
              <w:t xml:space="preserve">they </w:t>
            </w:r>
            <w:r w:rsidR="008829FE" w:rsidRPr="009B39EC">
              <w:rPr>
                <w:rFonts w:ascii="Arial" w:hAnsi="Arial" w:cs="Arial"/>
                <w:sz w:val="20"/>
                <w:szCs w:val="20"/>
                <w:lang w:val="en-GB"/>
              </w:rPr>
              <w:t>received double the usual amount of economic assistance, in accordance with DCoM No</w:t>
            </w:r>
            <w:r w:rsidR="00614D82" w:rsidRPr="009B39EC">
              <w:rPr>
                <w:rFonts w:ascii="Arial" w:hAnsi="Arial" w:cs="Arial"/>
                <w:sz w:val="20"/>
                <w:szCs w:val="20"/>
                <w:lang w:val="en-GB"/>
              </w:rPr>
              <w:t>. 254, dat</w:t>
            </w:r>
            <w:r w:rsidR="008829FE" w:rsidRPr="009B39EC">
              <w:rPr>
                <w:rFonts w:ascii="Arial" w:hAnsi="Arial" w:cs="Arial"/>
                <w:sz w:val="20"/>
                <w:szCs w:val="20"/>
                <w:lang w:val="en-GB"/>
              </w:rPr>
              <w:t>ed</w:t>
            </w:r>
            <w:r w:rsidR="00614D82" w:rsidRPr="009B39EC">
              <w:rPr>
                <w:rFonts w:ascii="Arial" w:hAnsi="Arial" w:cs="Arial"/>
                <w:sz w:val="20"/>
                <w:szCs w:val="20"/>
                <w:lang w:val="en-GB"/>
              </w:rPr>
              <w:t xml:space="preserve"> 27</w:t>
            </w:r>
            <w:r w:rsidR="008829FE" w:rsidRPr="009B39EC">
              <w:rPr>
                <w:rFonts w:ascii="Arial" w:hAnsi="Arial" w:cs="Arial"/>
                <w:sz w:val="20"/>
                <w:szCs w:val="20"/>
                <w:lang w:val="en-GB"/>
              </w:rPr>
              <w:t xml:space="preserve"> March </w:t>
            </w:r>
            <w:r w:rsidR="00614D82" w:rsidRPr="009B39EC">
              <w:rPr>
                <w:rFonts w:ascii="Arial" w:hAnsi="Arial" w:cs="Arial"/>
                <w:sz w:val="20"/>
                <w:szCs w:val="20"/>
                <w:lang w:val="en-GB"/>
              </w:rPr>
              <w:t>2020 “</w:t>
            </w:r>
            <w:r w:rsidR="008829FE" w:rsidRPr="009B39EC">
              <w:rPr>
                <w:rFonts w:ascii="Arial" w:hAnsi="Arial" w:cs="Arial"/>
                <w:sz w:val="20"/>
                <w:szCs w:val="20"/>
                <w:lang w:val="en-GB"/>
              </w:rPr>
              <w:t xml:space="preserve">On establishing the procedures, documentation and amount of financial assistance benefits for persons employed in business entities with an annual turnover of up to </w:t>
            </w:r>
            <w:r w:rsidR="00614D82" w:rsidRPr="009B39EC">
              <w:rPr>
                <w:rFonts w:ascii="Arial" w:hAnsi="Arial" w:cs="Arial"/>
                <w:sz w:val="20"/>
                <w:szCs w:val="20"/>
                <w:lang w:val="en-GB"/>
              </w:rPr>
              <w:t>14 mil</w:t>
            </w:r>
            <w:r w:rsidR="008829FE" w:rsidRPr="009B39EC">
              <w:rPr>
                <w:rFonts w:ascii="Arial" w:hAnsi="Arial" w:cs="Arial"/>
                <w:sz w:val="20"/>
                <w:szCs w:val="20"/>
                <w:lang w:val="en-GB"/>
              </w:rPr>
              <w:t>lion A</w:t>
            </w:r>
            <w:r w:rsidR="00546CC5" w:rsidRPr="009B39EC">
              <w:rPr>
                <w:rFonts w:ascii="Arial" w:hAnsi="Arial" w:cs="Arial"/>
                <w:sz w:val="20"/>
                <w:szCs w:val="20"/>
                <w:lang w:val="en-GB"/>
              </w:rPr>
              <w:t>LL</w:t>
            </w:r>
            <w:r w:rsidR="008829FE" w:rsidRPr="009B39EC">
              <w:rPr>
                <w:rFonts w:ascii="Arial" w:hAnsi="Arial" w:cs="Arial"/>
                <w:sz w:val="20"/>
                <w:szCs w:val="20"/>
                <w:lang w:val="en-GB"/>
              </w:rPr>
              <w:t xml:space="preserve">; economic assistance and unemployment benefit payments for the duration of the state of natural disaster proclaimed as a result of </w:t>
            </w:r>
            <w:r w:rsidR="00614D82" w:rsidRPr="009B39EC">
              <w:rPr>
                <w:rFonts w:ascii="Arial" w:hAnsi="Arial" w:cs="Arial"/>
                <w:sz w:val="20"/>
                <w:szCs w:val="20"/>
                <w:lang w:val="en-GB"/>
              </w:rPr>
              <w:t xml:space="preserve">Covid-19”. </w:t>
            </w:r>
          </w:p>
          <w:p w14:paraId="36AC3536" w14:textId="77777777" w:rsidR="000E6DC3" w:rsidRPr="009B39EC" w:rsidRDefault="000E6DC3" w:rsidP="0014262C">
            <w:pPr>
              <w:jc w:val="both"/>
              <w:rPr>
                <w:rFonts w:ascii="Arial" w:hAnsi="Arial" w:cs="Arial"/>
                <w:sz w:val="20"/>
                <w:szCs w:val="20"/>
                <w:lang w:val="en-GB"/>
              </w:rPr>
            </w:pPr>
          </w:p>
          <w:p w14:paraId="6EF50D09" w14:textId="1099D4D0" w:rsidR="000E6DC3" w:rsidRPr="009B39EC" w:rsidRDefault="008829FE" w:rsidP="0014262C">
            <w:pPr>
              <w:jc w:val="both"/>
              <w:rPr>
                <w:rFonts w:ascii="Arial" w:hAnsi="Arial" w:cs="Arial"/>
                <w:sz w:val="20"/>
                <w:szCs w:val="20"/>
                <w:lang w:val="en-GB"/>
              </w:rPr>
            </w:pPr>
            <w:r w:rsidRPr="009B39EC">
              <w:rPr>
                <w:rFonts w:ascii="Arial" w:hAnsi="Arial" w:cs="Arial"/>
                <w:sz w:val="20"/>
                <w:szCs w:val="20"/>
                <w:lang w:val="en-GB"/>
              </w:rPr>
              <w:t>In addition</w:t>
            </w:r>
            <w:r w:rsidR="000E6DC3" w:rsidRPr="009B39EC">
              <w:rPr>
                <w:rFonts w:ascii="Arial" w:hAnsi="Arial" w:cs="Arial"/>
                <w:sz w:val="20"/>
                <w:szCs w:val="20"/>
                <w:lang w:val="en-GB"/>
              </w:rPr>
              <w:t xml:space="preserve">, </w:t>
            </w:r>
            <w:r w:rsidR="00D8655D" w:rsidRPr="009B39EC">
              <w:rPr>
                <w:rFonts w:ascii="Arial" w:hAnsi="Arial" w:cs="Arial"/>
                <w:sz w:val="20"/>
                <w:szCs w:val="20"/>
                <w:lang w:val="en-GB"/>
              </w:rPr>
              <w:t xml:space="preserve">the government adopted a </w:t>
            </w:r>
            <w:r w:rsidRPr="009B39EC">
              <w:rPr>
                <w:rFonts w:ascii="Arial" w:hAnsi="Arial" w:cs="Arial"/>
                <w:sz w:val="20"/>
                <w:szCs w:val="20"/>
                <w:lang w:val="en-GB"/>
              </w:rPr>
              <w:t>DCoM</w:t>
            </w:r>
            <w:r w:rsidR="00D8655D" w:rsidRPr="009B39EC">
              <w:rPr>
                <w:rFonts w:ascii="Arial" w:hAnsi="Arial" w:cs="Arial"/>
                <w:sz w:val="20"/>
                <w:szCs w:val="20"/>
                <w:lang w:val="en-GB"/>
              </w:rPr>
              <w:t xml:space="preserve"> pursuant to the</w:t>
            </w:r>
            <w:r w:rsidRPr="009B39EC">
              <w:rPr>
                <w:rFonts w:ascii="Arial" w:hAnsi="Arial" w:cs="Arial"/>
                <w:sz w:val="20"/>
                <w:szCs w:val="20"/>
                <w:lang w:val="en-GB"/>
              </w:rPr>
              <w:t xml:space="preserve"> Law on Social Enterprises, </w:t>
            </w:r>
            <w:r w:rsidR="00D8655D" w:rsidRPr="009B39EC">
              <w:rPr>
                <w:rFonts w:ascii="Arial" w:hAnsi="Arial" w:cs="Arial"/>
                <w:sz w:val="20"/>
                <w:szCs w:val="20"/>
                <w:lang w:val="en-GB"/>
              </w:rPr>
              <w:t>according to which a</w:t>
            </w:r>
            <w:r w:rsidR="00546CC5" w:rsidRPr="009B39EC">
              <w:rPr>
                <w:rFonts w:ascii="Arial" w:hAnsi="Arial" w:cs="Arial"/>
                <w:sz w:val="20"/>
                <w:szCs w:val="20"/>
                <w:lang w:val="en-GB"/>
              </w:rPr>
              <w:t>n enterprise</w:t>
            </w:r>
            <w:r w:rsidR="00D8655D" w:rsidRPr="009B39EC">
              <w:rPr>
                <w:rFonts w:ascii="Arial" w:hAnsi="Arial" w:cs="Arial"/>
                <w:sz w:val="20"/>
                <w:szCs w:val="20"/>
                <w:lang w:val="en-GB"/>
              </w:rPr>
              <w:t xml:space="preserve"> support fund in the sum of </w:t>
            </w:r>
            <w:r w:rsidR="000E6DC3" w:rsidRPr="009B39EC">
              <w:rPr>
                <w:rFonts w:ascii="Arial" w:hAnsi="Arial" w:cs="Arial"/>
                <w:sz w:val="20"/>
                <w:szCs w:val="20"/>
                <w:lang w:val="en-GB"/>
              </w:rPr>
              <w:t xml:space="preserve">249,760,000 </w:t>
            </w:r>
            <w:r w:rsidR="00546CC5" w:rsidRPr="009B39EC">
              <w:rPr>
                <w:rFonts w:ascii="Arial" w:hAnsi="Arial" w:cs="Arial"/>
                <w:sz w:val="20"/>
                <w:szCs w:val="20"/>
                <w:lang w:val="en-GB"/>
              </w:rPr>
              <w:t xml:space="preserve">ALL </w:t>
            </w:r>
            <w:r w:rsidR="000E6DC3" w:rsidRPr="009B39EC">
              <w:rPr>
                <w:rFonts w:ascii="Arial" w:hAnsi="Arial" w:cs="Arial"/>
                <w:sz w:val="20"/>
                <w:szCs w:val="20"/>
                <w:lang w:val="en-GB"/>
              </w:rPr>
              <w:t>(</w:t>
            </w:r>
            <w:r w:rsidR="00D8655D" w:rsidRPr="009B39EC">
              <w:rPr>
                <w:rFonts w:ascii="Arial" w:hAnsi="Arial" w:cs="Arial"/>
                <w:sz w:val="20"/>
                <w:szCs w:val="20"/>
                <w:lang w:val="en-GB"/>
              </w:rPr>
              <w:t xml:space="preserve">about </w:t>
            </w:r>
            <w:r w:rsidR="000E6DC3" w:rsidRPr="009B39EC">
              <w:rPr>
                <w:rFonts w:ascii="Arial" w:hAnsi="Arial" w:cs="Arial"/>
                <w:sz w:val="20"/>
                <w:szCs w:val="20"/>
                <w:lang w:val="en-GB"/>
              </w:rPr>
              <w:t>2</w:t>
            </w:r>
            <w:r w:rsidR="00D8655D" w:rsidRPr="009B39EC">
              <w:rPr>
                <w:rFonts w:ascii="Arial" w:hAnsi="Arial" w:cs="Arial"/>
                <w:sz w:val="20"/>
                <w:szCs w:val="20"/>
                <w:lang w:val="en-GB"/>
              </w:rPr>
              <w:t>.81 million Euro</w:t>
            </w:r>
            <w:r w:rsidR="000E6DC3" w:rsidRPr="009B39EC">
              <w:rPr>
                <w:rFonts w:ascii="Arial" w:hAnsi="Arial" w:cs="Arial"/>
                <w:sz w:val="20"/>
                <w:szCs w:val="20"/>
                <w:lang w:val="en-GB"/>
              </w:rPr>
              <w:t>)</w:t>
            </w:r>
            <w:r w:rsidR="00D8655D" w:rsidRPr="009B39EC">
              <w:rPr>
                <w:rFonts w:ascii="Arial" w:hAnsi="Arial" w:cs="Arial"/>
                <w:sz w:val="20"/>
                <w:szCs w:val="20"/>
                <w:lang w:val="en-GB"/>
              </w:rPr>
              <w:t xml:space="preserve"> was adopted for the period </w:t>
            </w:r>
            <w:r w:rsidR="000E6DC3" w:rsidRPr="009B39EC">
              <w:rPr>
                <w:rFonts w:ascii="Arial" w:hAnsi="Arial" w:cs="Arial"/>
                <w:sz w:val="20"/>
                <w:szCs w:val="20"/>
                <w:lang w:val="en-GB"/>
              </w:rPr>
              <w:t>2019</w:t>
            </w:r>
            <w:r w:rsidR="00546CC5" w:rsidRPr="009B39EC">
              <w:rPr>
                <w:rFonts w:ascii="Arial" w:hAnsi="Arial" w:cs="Arial"/>
                <w:sz w:val="20"/>
                <w:szCs w:val="20"/>
                <w:lang w:val="en-GB"/>
              </w:rPr>
              <w:t>-</w:t>
            </w:r>
            <w:r w:rsidR="000E6DC3" w:rsidRPr="009B39EC">
              <w:rPr>
                <w:rFonts w:ascii="Arial" w:hAnsi="Arial" w:cs="Arial"/>
                <w:sz w:val="20"/>
                <w:szCs w:val="20"/>
                <w:lang w:val="en-GB"/>
              </w:rPr>
              <w:t xml:space="preserve">2021, </w:t>
            </w:r>
            <w:r w:rsidR="00D8655D" w:rsidRPr="009B39EC">
              <w:rPr>
                <w:rFonts w:ascii="Arial" w:hAnsi="Arial" w:cs="Arial"/>
                <w:sz w:val="20"/>
                <w:szCs w:val="20"/>
                <w:lang w:val="en-GB"/>
              </w:rPr>
              <w:t xml:space="preserve">of which </w:t>
            </w:r>
            <w:r w:rsidR="000E6DC3" w:rsidRPr="009B39EC">
              <w:rPr>
                <w:rFonts w:ascii="Arial" w:hAnsi="Arial" w:cs="Arial"/>
                <w:sz w:val="20"/>
                <w:szCs w:val="20"/>
                <w:lang w:val="en-GB"/>
              </w:rPr>
              <w:t xml:space="preserve">37,000,000 </w:t>
            </w:r>
            <w:r w:rsidR="002752F6" w:rsidRPr="009B39EC">
              <w:rPr>
                <w:rFonts w:ascii="Arial" w:hAnsi="Arial" w:cs="Arial"/>
                <w:sz w:val="20"/>
                <w:szCs w:val="20"/>
                <w:lang w:val="en-GB"/>
              </w:rPr>
              <w:t>ALL</w:t>
            </w:r>
            <w:r w:rsidR="000E6DC3" w:rsidRPr="009B39EC">
              <w:rPr>
                <w:rFonts w:ascii="Arial" w:hAnsi="Arial" w:cs="Arial"/>
                <w:sz w:val="20"/>
                <w:szCs w:val="20"/>
                <w:lang w:val="en-GB"/>
              </w:rPr>
              <w:t xml:space="preserve"> (</w:t>
            </w:r>
            <w:r w:rsidR="00D8655D" w:rsidRPr="009B39EC">
              <w:rPr>
                <w:rFonts w:ascii="Arial" w:hAnsi="Arial" w:cs="Arial"/>
                <w:sz w:val="20"/>
                <w:szCs w:val="20"/>
                <w:lang w:val="en-GB"/>
              </w:rPr>
              <w:t xml:space="preserve">about </w:t>
            </w:r>
            <w:r w:rsidR="000E6DC3" w:rsidRPr="009B39EC">
              <w:rPr>
                <w:rFonts w:ascii="Arial" w:hAnsi="Arial" w:cs="Arial"/>
                <w:sz w:val="20"/>
                <w:szCs w:val="20"/>
                <w:lang w:val="en-GB"/>
              </w:rPr>
              <w:t xml:space="preserve">308 </w:t>
            </w:r>
            <w:r w:rsidR="00D8655D" w:rsidRPr="009B39EC">
              <w:rPr>
                <w:rFonts w:ascii="Arial" w:hAnsi="Arial" w:cs="Arial"/>
                <w:sz w:val="20"/>
                <w:szCs w:val="20"/>
                <w:lang w:val="en-GB"/>
              </w:rPr>
              <w:t>thousand Euro</w:t>
            </w:r>
            <w:r w:rsidR="000E6DC3" w:rsidRPr="009B39EC">
              <w:rPr>
                <w:rFonts w:ascii="Arial" w:hAnsi="Arial" w:cs="Arial"/>
                <w:sz w:val="20"/>
                <w:szCs w:val="20"/>
                <w:lang w:val="en-GB"/>
              </w:rPr>
              <w:t xml:space="preserve">) </w:t>
            </w:r>
            <w:r w:rsidR="006B4079" w:rsidRPr="009B39EC">
              <w:rPr>
                <w:rFonts w:ascii="Arial" w:hAnsi="Arial" w:cs="Arial"/>
                <w:sz w:val="20"/>
                <w:szCs w:val="20"/>
                <w:lang w:val="en-GB"/>
              </w:rPr>
              <w:t>w</w:t>
            </w:r>
            <w:r w:rsidR="00546CC5" w:rsidRPr="009B39EC">
              <w:rPr>
                <w:rFonts w:ascii="Arial" w:hAnsi="Arial" w:cs="Arial"/>
                <w:sz w:val="20"/>
                <w:szCs w:val="20"/>
                <w:lang w:val="en-GB"/>
              </w:rPr>
              <w:t>as</w:t>
            </w:r>
            <w:r w:rsidR="006B4079" w:rsidRPr="009B39EC">
              <w:rPr>
                <w:rFonts w:ascii="Arial" w:hAnsi="Arial" w:cs="Arial"/>
                <w:sz w:val="20"/>
                <w:szCs w:val="20"/>
                <w:lang w:val="en-GB"/>
              </w:rPr>
              <w:t xml:space="preserve"> </w:t>
            </w:r>
            <w:r w:rsidR="00D8655D" w:rsidRPr="009B39EC">
              <w:rPr>
                <w:rFonts w:ascii="Arial" w:hAnsi="Arial" w:cs="Arial"/>
                <w:sz w:val="20"/>
                <w:szCs w:val="20"/>
                <w:lang w:val="en-GB"/>
              </w:rPr>
              <w:t xml:space="preserve">allocated  </w:t>
            </w:r>
            <w:r w:rsidR="006B4079" w:rsidRPr="009B39EC">
              <w:rPr>
                <w:rFonts w:ascii="Arial" w:hAnsi="Arial" w:cs="Arial"/>
                <w:sz w:val="20"/>
                <w:szCs w:val="20"/>
                <w:lang w:val="en-GB"/>
              </w:rPr>
              <w:t xml:space="preserve">for </w:t>
            </w:r>
            <w:r w:rsidR="00D8655D" w:rsidRPr="009B39EC">
              <w:rPr>
                <w:rFonts w:ascii="Arial" w:hAnsi="Arial" w:cs="Arial"/>
                <w:sz w:val="20"/>
                <w:szCs w:val="20"/>
                <w:lang w:val="en-GB"/>
              </w:rPr>
              <w:t xml:space="preserve">the creation of new jobs; </w:t>
            </w:r>
            <w:r w:rsidR="000E6DC3" w:rsidRPr="009B39EC">
              <w:rPr>
                <w:rFonts w:ascii="Arial" w:hAnsi="Arial" w:cs="Arial"/>
                <w:sz w:val="20"/>
                <w:szCs w:val="20"/>
                <w:lang w:val="en-GB"/>
              </w:rPr>
              <w:t xml:space="preserve">7,776,000 </w:t>
            </w:r>
            <w:r w:rsidR="00546CC5" w:rsidRPr="009B39EC">
              <w:rPr>
                <w:rFonts w:ascii="Arial" w:hAnsi="Arial" w:cs="Arial"/>
                <w:sz w:val="20"/>
                <w:szCs w:val="20"/>
                <w:lang w:val="en-GB"/>
              </w:rPr>
              <w:t xml:space="preserve">ALL </w:t>
            </w:r>
            <w:r w:rsidR="00BF69F1" w:rsidRPr="009B39EC">
              <w:rPr>
                <w:rFonts w:ascii="Arial" w:hAnsi="Arial" w:cs="Arial"/>
                <w:sz w:val="20"/>
                <w:szCs w:val="20"/>
                <w:lang w:val="en-GB"/>
              </w:rPr>
              <w:t>(</w:t>
            </w:r>
            <w:r w:rsidR="00D8655D" w:rsidRPr="009B39EC">
              <w:rPr>
                <w:rFonts w:ascii="Arial" w:hAnsi="Arial" w:cs="Arial"/>
                <w:sz w:val="20"/>
                <w:szCs w:val="20"/>
                <w:lang w:val="en-GB"/>
              </w:rPr>
              <w:t>about</w:t>
            </w:r>
            <w:r w:rsidR="00BF69F1" w:rsidRPr="009B39EC">
              <w:rPr>
                <w:rFonts w:ascii="Arial" w:hAnsi="Arial" w:cs="Arial"/>
                <w:sz w:val="20"/>
                <w:szCs w:val="20"/>
                <w:lang w:val="en-GB"/>
              </w:rPr>
              <w:t xml:space="preserve"> 65 </w:t>
            </w:r>
            <w:r w:rsidR="00D8655D" w:rsidRPr="009B39EC">
              <w:rPr>
                <w:rFonts w:ascii="Arial" w:hAnsi="Arial" w:cs="Arial"/>
                <w:sz w:val="20"/>
                <w:szCs w:val="20"/>
                <w:lang w:val="en-GB"/>
              </w:rPr>
              <w:t>thousand Euro</w:t>
            </w:r>
            <w:r w:rsidR="00BF69F1" w:rsidRPr="009B39EC">
              <w:rPr>
                <w:rFonts w:ascii="Arial" w:hAnsi="Arial" w:cs="Arial"/>
                <w:sz w:val="20"/>
                <w:szCs w:val="20"/>
                <w:lang w:val="en-GB"/>
              </w:rPr>
              <w:t xml:space="preserve">) </w:t>
            </w:r>
            <w:r w:rsidR="006B4079" w:rsidRPr="009B39EC">
              <w:rPr>
                <w:rFonts w:ascii="Arial" w:hAnsi="Arial" w:cs="Arial"/>
                <w:sz w:val="20"/>
                <w:szCs w:val="20"/>
                <w:lang w:val="en-GB"/>
              </w:rPr>
              <w:t>w</w:t>
            </w:r>
            <w:r w:rsidR="00546CC5" w:rsidRPr="009B39EC">
              <w:rPr>
                <w:rFonts w:ascii="Arial" w:hAnsi="Arial" w:cs="Arial"/>
                <w:sz w:val="20"/>
                <w:szCs w:val="20"/>
                <w:lang w:val="en-GB"/>
              </w:rPr>
              <w:t>ent towards covering</w:t>
            </w:r>
            <w:r w:rsidR="0034705B" w:rsidRPr="009B39EC">
              <w:rPr>
                <w:rFonts w:ascii="Arial" w:hAnsi="Arial" w:cs="Arial"/>
                <w:sz w:val="20"/>
                <w:szCs w:val="20"/>
                <w:lang w:val="en-GB"/>
              </w:rPr>
              <w:t xml:space="preserve"> the </w:t>
            </w:r>
            <w:r w:rsidR="00D8655D" w:rsidRPr="009B39EC">
              <w:rPr>
                <w:rFonts w:ascii="Arial" w:hAnsi="Arial" w:cs="Arial"/>
                <w:sz w:val="20"/>
                <w:szCs w:val="20"/>
                <w:lang w:val="en-GB"/>
              </w:rPr>
              <w:t>mandatory social and health insurance</w:t>
            </w:r>
            <w:r w:rsidR="0034705B" w:rsidRPr="009B39EC">
              <w:rPr>
                <w:rFonts w:ascii="Arial" w:hAnsi="Arial" w:cs="Arial"/>
                <w:sz w:val="20"/>
                <w:szCs w:val="20"/>
                <w:lang w:val="en-GB"/>
              </w:rPr>
              <w:t xml:space="preserve"> payments for employees of </w:t>
            </w:r>
            <w:r w:rsidR="00D8655D" w:rsidRPr="009B39EC">
              <w:rPr>
                <w:rFonts w:ascii="Arial" w:hAnsi="Arial" w:cs="Arial"/>
                <w:sz w:val="20"/>
                <w:szCs w:val="20"/>
                <w:lang w:val="en-GB"/>
              </w:rPr>
              <w:t>social enterprise</w:t>
            </w:r>
            <w:r w:rsidR="0034705B" w:rsidRPr="009B39EC">
              <w:rPr>
                <w:rFonts w:ascii="Arial" w:hAnsi="Arial" w:cs="Arial"/>
                <w:sz w:val="20"/>
                <w:szCs w:val="20"/>
                <w:lang w:val="en-GB"/>
              </w:rPr>
              <w:t>s belonging to disadvantaged groups, and the rest went to</w:t>
            </w:r>
            <w:r w:rsidR="00546CC5" w:rsidRPr="009B39EC">
              <w:rPr>
                <w:rFonts w:ascii="Arial" w:hAnsi="Arial" w:cs="Arial"/>
                <w:sz w:val="20"/>
                <w:szCs w:val="20"/>
                <w:lang w:val="en-GB"/>
              </w:rPr>
              <w:t>wards</w:t>
            </w:r>
            <w:r w:rsidR="0034705B" w:rsidRPr="009B39EC">
              <w:rPr>
                <w:rFonts w:ascii="Arial" w:hAnsi="Arial" w:cs="Arial"/>
                <w:sz w:val="20"/>
                <w:szCs w:val="20"/>
                <w:lang w:val="en-GB"/>
              </w:rPr>
              <w:t xml:space="preserve"> </w:t>
            </w:r>
            <w:r w:rsidR="00546CC5" w:rsidRPr="009B39EC">
              <w:rPr>
                <w:rFonts w:ascii="Arial" w:hAnsi="Arial" w:cs="Arial"/>
                <w:sz w:val="20"/>
                <w:szCs w:val="20"/>
                <w:lang w:val="en-GB"/>
              </w:rPr>
              <w:t>supporting</w:t>
            </w:r>
            <w:r w:rsidR="0034705B" w:rsidRPr="009B39EC">
              <w:rPr>
                <w:rFonts w:ascii="Arial" w:hAnsi="Arial" w:cs="Arial"/>
                <w:sz w:val="20"/>
                <w:szCs w:val="20"/>
                <w:lang w:val="en-GB"/>
              </w:rPr>
              <w:t xml:space="preserve"> these enterprises</w:t>
            </w:r>
            <w:r w:rsidR="00546CC5" w:rsidRPr="009B39EC">
              <w:rPr>
                <w:rFonts w:ascii="Arial" w:hAnsi="Arial" w:cs="Arial"/>
                <w:sz w:val="20"/>
                <w:szCs w:val="20"/>
                <w:lang w:val="en-GB"/>
              </w:rPr>
              <w:t>,</w:t>
            </w:r>
            <w:r w:rsidR="0034705B" w:rsidRPr="009B39EC">
              <w:rPr>
                <w:rFonts w:ascii="Arial" w:hAnsi="Arial" w:cs="Arial"/>
                <w:sz w:val="20"/>
                <w:szCs w:val="20"/>
                <w:lang w:val="en-GB"/>
              </w:rPr>
              <w:t xml:space="preserve"> upon submission of a business plan</w:t>
            </w:r>
            <w:r w:rsidR="000E6DC3" w:rsidRPr="009B39EC">
              <w:rPr>
                <w:rFonts w:ascii="Arial" w:hAnsi="Arial" w:cs="Arial"/>
                <w:sz w:val="20"/>
                <w:szCs w:val="20"/>
                <w:lang w:val="en-GB"/>
              </w:rPr>
              <w:t xml:space="preserve">. </w:t>
            </w:r>
            <w:proofErr w:type="gramStart"/>
            <w:r w:rsidR="00546CC5" w:rsidRPr="009B39EC">
              <w:rPr>
                <w:rFonts w:ascii="Arial" w:hAnsi="Arial" w:cs="Arial"/>
                <w:sz w:val="20"/>
                <w:szCs w:val="20"/>
                <w:lang w:val="en-GB"/>
              </w:rPr>
              <w:t>In order to</w:t>
            </w:r>
            <w:proofErr w:type="gramEnd"/>
            <w:r w:rsidR="00546CC5" w:rsidRPr="009B39EC">
              <w:rPr>
                <w:rFonts w:ascii="Arial" w:hAnsi="Arial" w:cs="Arial"/>
                <w:sz w:val="20"/>
                <w:szCs w:val="20"/>
                <w:lang w:val="en-GB"/>
              </w:rPr>
              <w:t xml:space="preserve"> be eligible for the subsidy, a </w:t>
            </w:r>
            <w:r w:rsidR="0034705B" w:rsidRPr="009B39EC">
              <w:rPr>
                <w:rFonts w:ascii="Arial" w:hAnsi="Arial" w:cs="Arial"/>
                <w:sz w:val="20"/>
                <w:szCs w:val="20"/>
                <w:lang w:val="en-GB"/>
              </w:rPr>
              <w:t>business must employ at least 3 young persons from disadvantaged groups within 12 months from receipt of the subsidy</w:t>
            </w:r>
            <w:r w:rsidR="000E6DC3" w:rsidRPr="009B39EC">
              <w:rPr>
                <w:rFonts w:ascii="Arial" w:hAnsi="Arial" w:cs="Arial"/>
                <w:sz w:val="20"/>
                <w:szCs w:val="20"/>
                <w:lang w:val="en-GB"/>
              </w:rPr>
              <w:t xml:space="preserve">. </w:t>
            </w:r>
            <w:r w:rsidR="0034705B" w:rsidRPr="009B39EC">
              <w:rPr>
                <w:rFonts w:ascii="Arial" w:hAnsi="Arial" w:cs="Arial"/>
                <w:sz w:val="20"/>
                <w:szCs w:val="20"/>
                <w:lang w:val="en-GB"/>
              </w:rPr>
              <w:t xml:space="preserve">The allocation of subsidies is conditional upon the employment of persons from disadvantaged </w:t>
            </w:r>
            <w:r w:rsidR="00445CB5" w:rsidRPr="009B39EC">
              <w:rPr>
                <w:rFonts w:ascii="Arial" w:hAnsi="Arial" w:cs="Arial"/>
                <w:sz w:val="20"/>
                <w:szCs w:val="20"/>
                <w:lang w:val="en-GB"/>
              </w:rPr>
              <w:t>groups</w:t>
            </w:r>
            <w:r w:rsidR="0034705B" w:rsidRPr="009B39EC">
              <w:rPr>
                <w:rFonts w:ascii="Arial" w:hAnsi="Arial" w:cs="Arial"/>
                <w:sz w:val="20"/>
                <w:szCs w:val="20"/>
                <w:lang w:val="en-GB"/>
              </w:rPr>
              <w:t xml:space="preserve"> </w:t>
            </w:r>
            <w:r w:rsidR="00546CC5" w:rsidRPr="009B39EC">
              <w:rPr>
                <w:rFonts w:ascii="Arial" w:hAnsi="Arial" w:cs="Arial"/>
                <w:sz w:val="20"/>
                <w:szCs w:val="20"/>
                <w:lang w:val="en-GB"/>
              </w:rPr>
              <w:t xml:space="preserve">with a </w:t>
            </w:r>
            <w:r w:rsidR="00850A6E" w:rsidRPr="009B39EC">
              <w:rPr>
                <w:rFonts w:ascii="Arial" w:hAnsi="Arial" w:cs="Arial"/>
                <w:sz w:val="20"/>
                <w:szCs w:val="20"/>
                <w:lang w:val="en-GB"/>
              </w:rPr>
              <w:t xml:space="preserve">contract duration of no less than </w:t>
            </w:r>
            <w:r w:rsidR="000E6DC3" w:rsidRPr="009B39EC">
              <w:rPr>
                <w:rFonts w:ascii="Arial" w:hAnsi="Arial" w:cs="Arial"/>
                <w:sz w:val="20"/>
                <w:szCs w:val="20"/>
                <w:lang w:val="en-GB"/>
              </w:rPr>
              <w:t xml:space="preserve">2 </w:t>
            </w:r>
            <w:r w:rsidR="00850A6E" w:rsidRPr="009B39EC">
              <w:rPr>
                <w:rFonts w:ascii="Arial" w:hAnsi="Arial" w:cs="Arial"/>
                <w:sz w:val="20"/>
                <w:szCs w:val="20"/>
                <w:lang w:val="en-GB"/>
              </w:rPr>
              <w:t>years</w:t>
            </w:r>
            <w:r w:rsidR="000E6DC3" w:rsidRPr="009B39EC">
              <w:rPr>
                <w:rFonts w:ascii="Arial" w:hAnsi="Arial" w:cs="Arial"/>
                <w:sz w:val="20"/>
                <w:szCs w:val="20"/>
                <w:lang w:val="en-GB"/>
              </w:rPr>
              <w:t>.</w:t>
            </w:r>
          </w:p>
          <w:p w14:paraId="7885FC5C" w14:textId="472F5C98" w:rsidR="00111C28" w:rsidRPr="009B39EC" w:rsidRDefault="00111C28" w:rsidP="0014262C">
            <w:pPr>
              <w:jc w:val="both"/>
              <w:rPr>
                <w:rFonts w:ascii="Arial" w:hAnsi="Arial" w:cs="Arial"/>
                <w:sz w:val="20"/>
                <w:szCs w:val="20"/>
                <w:lang w:val="en-GB"/>
              </w:rPr>
            </w:pPr>
          </w:p>
          <w:p w14:paraId="7F0000C4" w14:textId="19C9542F" w:rsidR="00111C28" w:rsidRPr="009B39EC" w:rsidRDefault="00111C28" w:rsidP="0014262C">
            <w:pPr>
              <w:jc w:val="both"/>
              <w:rPr>
                <w:rFonts w:ascii="Arial" w:hAnsi="Arial" w:cs="Arial"/>
                <w:sz w:val="20"/>
                <w:szCs w:val="20"/>
                <w:lang w:val="en-GB"/>
              </w:rPr>
            </w:pPr>
            <w:r w:rsidRPr="009B39EC">
              <w:rPr>
                <w:rFonts w:ascii="Arial" w:hAnsi="Arial" w:cs="Arial"/>
                <w:sz w:val="20"/>
                <w:szCs w:val="20"/>
                <w:lang w:val="en-GB"/>
              </w:rPr>
              <w:t>The Ministry of Health and Social Protection also funds two specialist support services, at the national level, which provide long-term sheltering and treatment focused on reintegration, for victims of domestic violence and trafficking of human beings.</w:t>
            </w:r>
            <w:r w:rsidRPr="009B39EC">
              <w:rPr>
                <w:rFonts w:ascii="Arial" w:hAnsi="Arial" w:cs="Arial"/>
                <w:sz w:val="20"/>
                <w:szCs w:val="20"/>
              </w:rPr>
              <w:t xml:space="preserve"> </w:t>
            </w:r>
            <w:r w:rsidRPr="009B39EC">
              <w:rPr>
                <w:rFonts w:ascii="Arial" w:hAnsi="Arial" w:cs="Arial"/>
                <w:sz w:val="20"/>
                <w:szCs w:val="20"/>
                <w:lang w:val="en-GB"/>
              </w:rPr>
              <w:t xml:space="preserve">Data on the planned and allocated budget for these two </w:t>
            </w:r>
            <w:proofErr w:type="spellStart"/>
            <w:r w:rsidRPr="009B39EC">
              <w:rPr>
                <w:rFonts w:ascii="Arial" w:hAnsi="Arial" w:cs="Arial"/>
                <w:sz w:val="20"/>
                <w:szCs w:val="20"/>
                <w:lang w:val="en-GB"/>
              </w:rPr>
              <w:t>centers</w:t>
            </w:r>
            <w:proofErr w:type="spellEnd"/>
            <w:r w:rsidRPr="009B39EC">
              <w:rPr>
                <w:rFonts w:ascii="Arial" w:hAnsi="Arial" w:cs="Arial"/>
                <w:sz w:val="20"/>
                <w:szCs w:val="20"/>
                <w:lang w:val="en-GB"/>
              </w:rPr>
              <w:t xml:space="preserve"> are presented in the following table:</w:t>
            </w:r>
          </w:p>
          <w:p w14:paraId="5BAF4B51" w14:textId="6EE93DC3" w:rsidR="00111C28" w:rsidRPr="009B39EC" w:rsidRDefault="00111C28" w:rsidP="0014262C">
            <w:pPr>
              <w:jc w:val="both"/>
              <w:rPr>
                <w:rFonts w:ascii="Arial" w:hAnsi="Arial" w:cs="Arial"/>
                <w:sz w:val="20"/>
                <w:szCs w:val="20"/>
                <w:lang w:val="en-GB"/>
              </w:rPr>
            </w:pPr>
          </w:p>
          <w:tbl>
            <w:tblPr>
              <w:tblStyle w:val="TableGrid"/>
              <w:tblW w:w="9320" w:type="dxa"/>
              <w:tblLook w:val="04A0" w:firstRow="1" w:lastRow="0" w:firstColumn="1" w:lastColumn="0" w:noHBand="0" w:noVBand="1"/>
            </w:tblPr>
            <w:tblGrid>
              <w:gridCol w:w="3165"/>
              <w:gridCol w:w="1239"/>
              <w:gridCol w:w="1217"/>
              <w:gridCol w:w="1239"/>
              <w:gridCol w:w="1217"/>
              <w:gridCol w:w="1243"/>
            </w:tblGrid>
            <w:tr w:rsidR="00111C28" w:rsidRPr="009B39EC" w14:paraId="22BAD8AB" w14:textId="77777777" w:rsidTr="00C76105">
              <w:tc>
                <w:tcPr>
                  <w:tcW w:w="3165" w:type="dxa"/>
                  <w:vMerge w:val="restart"/>
                </w:tcPr>
                <w:p w14:paraId="44AB4AE8" w14:textId="77777777" w:rsidR="00111C28" w:rsidRPr="009B39EC" w:rsidRDefault="00111C28" w:rsidP="00111C28">
                  <w:pPr>
                    <w:jc w:val="center"/>
                    <w:rPr>
                      <w:rFonts w:ascii="Arial" w:hAnsi="Arial" w:cs="Arial"/>
                      <w:b/>
                      <w:bCs/>
                      <w:sz w:val="20"/>
                      <w:szCs w:val="20"/>
                      <w:lang w:val="en-GB"/>
                    </w:rPr>
                  </w:pPr>
                </w:p>
                <w:p w14:paraId="7A65830A" w14:textId="1A5C2E9E" w:rsidR="00111C28" w:rsidRPr="009B39EC" w:rsidRDefault="00111C28" w:rsidP="00111C28">
                  <w:pPr>
                    <w:jc w:val="center"/>
                    <w:rPr>
                      <w:rFonts w:ascii="Arial" w:hAnsi="Arial" w:cs="Arial"/>
                      <w:b/>
                      <w:bCs/>
                      <w:sz w:val="20"/>
                      <w:szCs w:val="20"/>
                      <w:lang w:val="en-GB"/>
                    </w:rPr>
                  </w:pPr>
                  <w:r w:rsidRPr="009B39EC">
                    <w:rPr>
                      <w:rFonts w:ascii="Arial" w:hAnsi="Arial" w:cs="Arial"/>
                      <w:b/>
                      <w:bCs/>
                      <w:sz w:val="20"/>
                      <w:szCs w:val="20"/>
                      <w:lang w:val="en-GB"/>
                    </w:rPr>
                    <w:t>Institution</w:t>
                  </w:r>
                </w:p>
              </w:tc>
              <w:tc>
                <w:tcPr>
                  <w:tcW w:w="2456" w:type="dxa"/>
                  <w:gridSpan w:val="2"/>
                </w:tcPr>
                <w:p w14:paraId="236111E4" w14:textId="24D3E8C4" w:rsidR="00111C28" w:rsidRPr="009B39EC" w:rsidRDefault="00111C28" w:rsidP="00111C28">
                  <w:pPr>
                    <w:jc w:val="center"/>
                    <w:rPr>
                      <w:rFonts w:ascii="Arial" w:hAnsi="Arial" w:cs="Arial"/>
                      <w:b/>
                      <w:bCs/>
                      <w:sz w:val="20"/>
                      <w:szCs w:val="20"/>
                      <w:lang w:val="en-GB"/>
                    </w:rPr>
                  </w:pPr>
                  <w:r w:rsidRPr="009B39EC">
                    <w:rPr>
                      <w:rFonts w:ascii="Arial" w:hAnsi="Arial" w:cs="Arial"/>
                      <w:b/>
                      <w:bCs/>
                      <w:sz w:val="20"/>
                      <w:szCs w:val="20"/>
                      <w:lang w:val="en-GB"/>
                    </w:rPr>
                    <w:t>Year 2019</w:t>
                  </w:r>
                </w:p>
                <w:p w14:paraId="5DF82A06" w14:textId="15332E03" w:rsidR="00111C28" w:rsidRPr="009B39EC" w:rsidRDefault="00111C28" w:rsidP="00111C28">
                  <w:pPr>
                    <w:jc w:val="center"/>
                    <w:rPr>
                      <w:rFonts w:ascii="Arial" w:hAnsi="Arial" w:cs="Arial"/>
                      <w:b/>
                      <w:bCs/>
                      <w:sz w:val="20"/>
                      <w:szCs w:val="20"/>
                      <w:lang w:val="en-GB"/>
                    </w:rPr>
                  </w:pPr>
                  <w:r w:rsidRPr="009B39EC">
                    <w:rPr>
                      <w:rFonts w:ascii="Arial" w:hAnsi="Arial" w:cs="Arial"/>
                      <w:b/>
                      <w:bCs/>
                      <w:sz w:val="20"/>
                      <w:szCs w:val="20"/>
                      <w:lang w:val="en-GB"/>
                    </w:rPr>
                    <w:t>(ALL)</w:t>
                  </w:r>
                </w:p>
              </w:tc>
              <w:tc>
                <w:tcPr>
                  <w:tcW w:w="2456" w:type="dxa"/>
                  <w:gridSpan w:val="2"/>
                </w:tcPr>
                <w:p w14:paraId="14710BFD" w14:textId="464464F7" w:rsidR="00111C28" w:rsidRPr="009B39EC" w:rsidRDefault="00111C28" w:rsidP="00111C28">
                  <w:pPr>
                    <w:jc w:val="center"/>
                    <w:rPr>
                      <w:rFonts w:ascii="Arial" w:hAnsi="Arial" w:cs="Arial"/>
                      <w:b/>
                      <w:bCs/>
                      <w:sz w:val="20"/>
                      <w:szCs w:val="20"/>
                      <w:lang w:val="en-GB"/>
                    </w:rPr>
                  </w:pPr>
                  <w:r w:rsidRPr="009B39EC">
                    <w:rPr>
                      <w:rFonts w:ascii="Arial" w:hAnsi="Arial" w:cs="Arial"/>
                      <w:b/>
                      <w:bCs/>
                      <w:sz w:val="20"/>
                      <w:szCs w:val="20"/>
                      <w:lang w:val="en-GB"/>
                    </w:rPr>
                    <w:t>Year 2020</w:t>
                  </w:r>
                </w:p>
                <w:p w14:paraId="4FE59A4A" w14:textId="65570DE5" w:rsidR="00111C28" w:rsidRPr="009B39EC" w:rsidRDefault="00111C28" w:rsidP="00111C28">
                  <w:pPr>
                    <w:jc w:val="center"/>
                    <w:rPr>
                      <w:rFonts w:ascii="Arial" w:hAnsi="Arial" w:cs="Arial"/>
                      <w:b/>
                      <w:bCs/>
                      <w:sz w:val="20"/>
                      <w:szCs w:val="20"/>
                      <w:lang w:val="en-GB"/>
                    </w:rPr>
                  </w:pPr>
                  <w:r w:rsidRPr="009B39EC">
                    <w:rPr>
                      <w:rFonts w:ascii="Arial" w:hAnsi="Arial" w:cs="Arial"/>
                      <w:b/>
                      <w:bCs/>
                      <w:sz w:val="20"/>
                      <w:szCs w:val="20"/>
                      <w:lang w:val="en-GB"/>
                    </w:rPr>
                    <w:t>(ALL)</w:t>
                  </w:r>
                </w:p>
              </w:tc>
              <w:tc>
                <w:tcPr>
                  <w:tcW w:w="1243" w:type="dxa"/>
                </w:tcPr>
                <w:p w14:paraId="365CD742" w14:textId="24A04061" w:rsidR="00111C28" w:rsidRPr="009B39EC" w:rsidRDefault="00111C28" w:rsidP="00111C28">
                  <w:pPr>
                    <w:jc w:val="center"/>
                    <w:rPr>
                      <w:rFonts w:ascii="Arial" w:hAnsi="Arial" w:cs="Arial"/>
                      <w:b/>
                      <w:bCs/>
                      <w:sz w:val="20"/>
                      <w:szCs w:val="20"/>
                      <w:lang w:val="en-GB"/>
                    </w:rPr>
                  </w:pPr>
                  <w:r w:rsidRPr="009B39EC">
                    <w:rPr>
                      <w:rFonts w:ascii="Arial" w:hAnsi="Arial" w:cs="Arial"/>
                      <w:b/>
                      <w:bCs/>
                      <w:sz w:val="20"/>
                      <w:szCs w:val="20"/>
                      <w:lang w:val="en-GB"/>
                    </w:rPr>
                    <w:t>Year 2021 (ALL)</w:t>
                  </w:r>
                </w:p>
              </w:tc>
            </w:tr>
            <w:tr w:rsidR="00457262" w:rsidRPr="009B39EC" w14:paraId="0ABAC6DC" w14:textId="77777777" w:rsidTr="00C76105">
              <w:tc>
                <w:tcPr>
                  <w:tcW w:w="3165" w:type="dxa"/>
                  <w:vMerge/>
                </w:tcPr>
                <w:p w14:paraId="7516DBDA" w14:textId="77777777" w:rsidR="00457262" w:rsidRPr="009B39EC" w:rsidRDefault="00457262" w:rsidP="00457262">
                  <w:pPr>
                    <w:jc w:val="both"/>
                    <w:rPr>
                      <w:rFonts w:ascii="Arial" w:hAnsi="Arial" w:cs="Arial"/>
                      <w:sz w:val="20"/>
                      <w:szCs w:val="20"/>
                      <w:lang w:val="en-GB"/>
                    </w:rPr>
                  </w:pPr>
                </w:p>
              </w:tc>
              <w:tc>
                <w:tcPr>
                  <w:tcW w:w="1239" w:type="dxa"/>
                </w:tcPr>
                <w:p w14:paraId="08FD4232" w14:textId="277376B3" w:rsidR="00457262" w:rsidRPr="009B39EC" w:rsidRDefault="00457262" w:rsidP="00457262">
                  <w:pPr>
                    <w:jc w:val="both"/>
                    <w:rPr>
                      <w:rFonts w:ascii="Arial" w:hAnsi="Arial" w:cs="Arial"/>
                      <w:b/>
                      <w:bCs/>
                      <w:sz w:val="20"/>
                      <w:szCs w:val="20"/>
                      <w:lang w:val="en-GB"/>
                    </w:rPr>
                  </w:pPr>
                  <w:r w:rsidRPr="009B39EC">
                    <w:rPr>
                      <w:rFonts w:ascii="Arial" w:hAnsi="Arial" w:cs="Arial"/>
                      <w:b/>
                      <w:bCs/>
                      <w:sz w:val="20"/>
                      <w:szCs w:val="20"/>
                      <w:lang w:val="en-GB"/>
                    </w:rPr>
                    <w:t>Planned</w:t>
                  </w:r>
                </w:p>
              </w:tc>
              <w:tc>
                <w:tcPr>
                  <w:tcW w:w="1217" w:type="dxa"/>
                </w:tcPr>
                <w:p w14:paraId="76E11F59" w14:textId="46CF5CF7" w:rsidR="00457262" w:rsidRPr="009B39EC" w:rsidRDefault="00457262" w:rsidP="00457262">
                  <w:pPr>
                    <w:jc w:val="both"/>
                    <w:rPr>
                      <w:rFonts w:ascii="Arial" w:hAnsi="Arial" w:cs="Arial"/>
                      <w:b/>
                      <w:bCs/>
                      <w:sz w:val="20"/>
                      <w:szCs w:val="20"/>
                      <w:lang w:val="en-GB"/>
                    </w:rPr>
                  </w:pPr>
                  <w:r w:rsidRPr="009B39EC">
                    <w:rPr>
                      <w:rFonts w:ascii="Arial" w:hAnsi="Arial" w:cs="Arial"/>
                      <w:b/>
                      <w:bCs/>
                      <w:sz w:val="20"/>
                      <w:szCs w:val="20"/>
                      <w:lang w:val="en-GB"/>
                    </w:rPr>
                    <w:t>Allocated</w:t>
                  </w:r>
                </w:p>
              </w:tc>
              <w:tc>
                <w:tcPr>
                  <w:tcW w:w="1239" w:type="dxa"/>
                </w:tcPr>
                <w:p w14:paraId="357C9976" w14:textId="425A4F55" w:rsidR="00457262" w:rsidRPr="009B39EC" w:rsidRDefault="00457262" w:rsidP="00457262">
                  <w:pPr>
                    <w:jc w:val="both"/>
                    <w:rPr>
                      <w:rFonts w:ascii="Arial" w:hAnsi="Arial" w:cs="Arial"/>
                      <w:b/>
                      <w:bCs/>
                      <w:sz w:val="20"/>
                      <w:szCs w:val="20"/>
                      <w:lang w:val="en-GB"/>
                    </w:rPr>
                  </w:pPr>
                  <w:r w:rsidRPr="009B39EC">
                    <w:rPr>
                      <w:rFonts w:ascii="Arial" w:hAnsi="Arial" w:cs="Arial"/>
                      <w:b/>
                      <w:bCs/>
                      <w:sz w:val="20"/>
                      <w:szCs w:val="20"/>
                      <w:lang w:val="en-GB"/>
                    </w:rPr>
                    <w:t>Planned</w:t>
                  </w:r>
                </w:p>
              </w:tc>
              <w:tc>
                <w:tcPr>
                  <w:tcW w:w="1217" w:type="dxa"/>
                </w:tcPr>
                <w:p w14:paraId="08180EB9" w14:textId="77239BCE" w:rsidR="00457262" w:rsidRPr="009B39EC" w:rsidRDefault="00457262" w:rsidP="00457262">
                  <w:pPr>
                    <w:jc w:val="both"/>
                    <w:rPr>
                      <w:rFonts w:ascii="Arial" w:hAnsi="Arial" w:cs="Arial"/>
                      <w:b/>
                      <w:bCs/>
                      <w:sz w:val="20"/>
                      <w:szCs w:val="20"/>
                      <w:lang w:val="en-GB"/>
                    </w:rPr>
                  </w:pPr>
                  <w:r w:rsidRPr="009B39EC">
                    <w:rPr>
                      <w:rFonts w:ascii="Arial" w:hAnsi="Arial" w:cs="Arial"/>
                      <w:b/>
                      <w:bCs/>
                      <w:sz w:val="20"/>
                      <w:szCs w:val="20"/>
                      <w:lang w:val="en-GB"/>
                    </w:rPr>
                    <w:t>Allocated</w:t>
                  </w:r>
                </w:p>
              </w:tc>
              <w:tc>
                <w:tcPr>
                  <w:tcW w:w="1243" w:type="dxa"/>
                </w:tcPr>
                <w:p w14:paraId="1DF9944B" w14:textId="5062ACCE" w:rsidR="00457262" w:rsidRPr="009B39EC" w:rsidRDefault="00457262" w:rsidP="00457262">
                  <w:pPr>
                    <w:jc w:val="both"/>
                    <w:rPr>
                      <w:rFonts w:ascii="Arial" w:hAnsi="Arial" w:cs="Arial"/>
                      <w:b/>
                      <w:bCs/>
                      <w:sz w:val="20"/>
                      <w:szCs w:val="20"/>
                      <w:lang w:val="en-GB"/>
                    </w:rPr>
                  </w:pPr>
                  <w:r w:rsidRPr="009B39EC">
                    <w:rPr>
                      <w:rFonts w:ascii="Arial" w:hAnsi="Arial" w:cs="Arial"/>
                      <w:b/>
                      <w:bCs/>
                      <w:sz w:val="20"/>
                      <w:szCs w:val="20"/>
                      <w:lang w:val="en-GB"/>
                    </w:rPr>
                    <w:t>Planned</w:t>
                  </w:r>
                </w:p>
              </w:tc>
            </w:tr>
            <w:tr w:rsidR="00111C28" w:rsidRPr="009B39EC" w14:paraId="7B5ED487" w14:textId="77777777" w:rsidTr="00C76105">
              <w:tc>
                <w:tcPr>
                  <w:tcW w:w="3165" w:type="dxa"/>
                </w:tcPr>
                <w:p w14:paraId="3A6B8F95" w14:textId="193CE0DB"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 xml:space="preserve">National </w:t>
                  </w:r>
                  <w:proofErr w:type="spellStart"/>
                  <w:r w:rsidRPr="009B39EC">
                    <w:rPr>
                      <w:rFonts w:ascii="Arial" w:hAnsi="Arial" w:cs="Arial"/>
                      <w:sz w:val="20"/>
                      <w:szCs w:val="20"/>
                      <w:lang w:val="en-GB"/>
                    </w:rPr>
                    <w:t>Center</w:t>
                  </w:r>
                  <w:proofErr w:type="spellEnd"/>
                  <w:r w:rsidRPr="009B39EC">
                    <w:rPr>
                      <w:rFonts w:ascii="Arial" w:hAnsi="Arial" w:cs="Arial"/>
                      <w:sz w:val="20"/>
                      <w:szCs w:val="20"/>
                      <w:lang w:val="en-GB"/>
                    </w:rPr>
                    <w:t xml:space="preserve"> for the </w:t>
                  </w:r>
                  <w:r w:rsidR="00457262" w:rsidRPr="009B39EC">
                    <w:rPr>
                      <w:rFonts w:ascii="Arial" w:hAnsi="Arial" w:cs="Arial"/>
                      <w:sz w:val="20"/>
                      <w:szCs w:val="20"/>
                      <w:lang w:val="en-GB"/>
                    </w:rPr>
                    <w:t>T</w:t>
                  </w:r>
                  <w:r w:rsidRPr="009B39EC">
                    <w:rPr>
                      <w:rFonts w:ascii="Arial" w:hAnsi="Arial" w:cs="Arial"/>
                      <w:sz w:val="20"/>
                      <w:szCs w:val="20"/>
                      <w:lang w:val="en-GB"/>
                    </w:rPr>
                    <w:t xml:space="preserve">reatment of </w:t>
                  </w:r>
                  <w:r w:rsidR="00457262" w:rsidRPr="009B39EC">
                    <w:rPr>
                      <w:rFonts w:ascii="Arial" w:hAnsi="Arial" w:cs="Arial"/>
                      <w:sz w:val="20"/>
                      <w:szCs w:val="20"/>
                      <w:lang w:val="en-GB"/>
                    </w:rPr>
                    <w:t>Domestic Violence Cases</w:t>
                  </w:r>
                  <w:r w:rsidRPr="009B39EC">
                    <w:rPr>
                      <w:rFonts w:ascii="Arial" w:hAnsi="Arial" w:cs="Arial"/>
                      <w:sz w:val="20"/>
                      <w:szCs w:val="20"/>
                      <w:lang w:val="en-GB"/>
                    </w:rPr>
                    <w:t xml:space="preserve"> </w:t>
                  </w:r>
                </w:p>
              </w:tc>
              <w:tc>
                <w:tcPr>
                  <w:tcW w:w="1239" w:type="dxa"/>
                </w:tcPr>
                <w:p w14:paraId="4B7020AB" w14:textId="77777777" w:rsidR="00111C28" w:rsidRPr="009B39EC" w:rsidRDefault="00111C28" w:rsidP="00111C28">
                  <w:pPr>
                    <w:jc w:val="both"/>
                    <w:rPr>
                      <w:rFonts w:ascii="Arial" w:hAnsi="Arial" w:cs="Arial"/>
                      <w:sz w:val="20"/>
                      <w:szCs w:val="20"/>
                      <w:lang w:val="en-GB"/>
                    </w:rPr>
                  </w:pPr>
                </w:p>
                <w:p w14:paraId="27A21C49" w14:textId="77777777"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22,860,000</w:t>
                  </w:r>
                </w:p>
              </w:tc>
              <w:tc>
                <w:tcPr>
                  <w:tcW w:w="1217" w:type="dxa"/>
                </w:tcPr>
                <w:p w14:paraId="1123E008" w14:textId="77777777" w:rsidR="00111C28" w:rsidRPr="009B39EC" w:rsidRDefault="00111C28" w:rsidP="00111C28">
                  <w:pPr>
                    <w:jc w:val="both"/>
                    <w:rPr>
                      <w:rFonts w:ascii="Arial" w:hAnsi="Arial" w:cs="Arial"/>
                      <w:sz w:val="20"/>
                      <w:szCs w:val="20"/>
                      <w:lang w:val="en-GB"/>
                    </w:rPr>
                  </w:pPr>
                </w:p>
                <w:p w14:paraId="28565FA2" w14:textId="77777777"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22,297,826</w:t>
                  </w:r>
                </w:p>
              </w:tc>
              <w:tc>
                <w:tcPr>
                  <w:tcW w:w="1239" w:type="dxa"/>
                </w:tcPr>
                <w:p w14:paraId="149FA3B2" w14:textId="77777777" w:rsidR="00111C28" w:rsidRPr="009B39EC" w:rsidRDefault="00111C28" w:rsidP="00111C28">
                  <w:pPr>
                    <w:jc w:val="both"/>
                    <w:rPr>
                      <w:rFonts w:ascii="Arial" w:hAnsi="Arial" w:cs="Arial"/>
                      <w:sz w:val="20"/>
                      <w:szCs w:val="20"/>
                      <w:lang w:val="en-GB"/>
                    </w:rPr>
                  </w:pPr>
                </w:p>
                <w:p w14:paraId="4B578EF9" w14:textId="77777777"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22,840,000</w:t>
                  </w:r>
                </w:p>
              </w:tc>
              <w:tc>
                <w:tcPr>
                  <w:tcW w:w="1217" w:type="dxa"/>
                </w:tcPr>
                <w:p w14:paraId="7914BFD8" w14:textId="77777777" w:rsidR="00111C28" w:rsidRPr="009B39EC" w:rsidRDefault="00111C28" w:rsidP="00111C28">
                  <w:pPr>
                    <w:jc w:val="both"/>
                    <w:rPr>
                      <w:rFonts w:ascii="Arial" w:hAnsi="Arial" w:cs="Arial"/>
                      <w:sz w:val="20"/>
                      <w:szCs w:val="20"/>
                      <w:lang w:val="en-GB"/>
                    </w:rPr>
                  </w:pPr>
                </w:p>
                <w:p w14:paraId="2C10B60F" w14:textId="77777777"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22,735,294</w:t>
                  </w:r>
                </w:p>
              </w:tc>
              <w:tc>
                <w:tcPr>
                  <w:tcW w:w="1243" w:type="dxa"/>
                </w:tcPr>
                <w:p w14:paraId="18252934" w14:textId="77777777" w:rsidR="00111C28" w:rsidRPr="009B39EC" w:rsidRDefault="00111C28" w:rsidP="00111C28">
                  <w:pPr>
                    <w:jc w:val="both"/>
                    <w:rPr>
                      <w:rFonts w:ascii="Arial" w:hAnsi="Arial" w:cs="Arial"/>
                      <w:sz w:val="20"/>
                      <w:szCs w:val="20"/>
                      <w:lang w:val="en-GB"/>
                    </w:rPr>
                  </w:pPr>
                </w:p>
                <w:p w14:paraId="64AA7BDE" w14:textId="77777777"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21,530,000</w:t>
                  </w:r>
                </w:p>
              </w:tc>
            </w:tr>
            <w:tr w:rsidR="00111C28" w:rsidRPr="009B39EC" w14:paraId="6C3BBFBD" w14:textId="77777777" w:rsidTr="00C76105">
              <w:tc>
                <w:tcPr>
                  <w:tcW w:w="3165" w:type="dxa"/>
                </w:tcPr>
                <w:p w14:paraId="000C39EE" w14:textId="3FCCE204" w:rsidR="00111C28" w:rsidRPr="009B39EC" w:rsidRDefault="00457262" w:rsidP="00111C28">
                  <w:pPr>
                    <w:jc w:val="both"/>
                    <w:rPr>
                      <w:rFonts w:ascii="Arial" w:hAnsi="Arial" w:cs="Arial"/>
                      <w:sz w:val="20"/>
                      <w:szCs w:val="20"/>
                      <w:lang w:val="en-GB"/>
                    </w:rPr>
                  </w:pPr>
                  <w:r w:rsidRPr="009B39EC">
                    <w:rPr>
                      <w:rFonts w:ascii="Arial" w:hAnsi="Arial" w:cs="Arial"/>
                      <w:sz w:val="20"/>
                      <w:szCs w:val="20"/>
                      <w:lang w:val="en-GB"/>
                    </w:rPr>
                    <w:t xml:space="preserve">National Reception </w:t>
                  </w:r>
                  <w:proofErr w:type="spellStart"/>
                  <w:r w:rsidRPr="009B39EC">
                    <w:rPr>
                      <w:rFonts w:ascii="Arial" w:hAnsi="Arial" w:cs="Arial"/>
                      <w:sz w:val="20"/>
                      <w:szCs w:val="20"/>
                      <w:lang w:val="en-GB"/>
                    </w:rPr>
                    <w:t>Center</w:t>
                  </w:r>
                  <w:proofErr w:type="spellEnd"/>
                  <w:r w:rsidRPr="009B39EC">
                    <w:rPr>
                      <w:rFonts w:ascii="Arial" w:hAnsi="Arial" w:cs="Arial"/>
                      <w:sz w:val="20"/>
                      <w:szCs w:val="20"/>
                      <w:lang w:val="en-GB"/>
                    </w:rPr>
                    <w:t xml:space="preserve"> for the Victims of Trafficking </w:t>
                  </w:r>
                </w:p>
              </w:tc>
              <w:tc>
                <w:tcPr>
                  <w:tcW w:w="1239" w:type="dxa"/>
                </w:tcPr>
                <w:p w14:paraId="66BBA84E" w14:textId="77777777" w:rsidR="00457262" w:rsidRPr="009B39EC" w:rsidRDefault="00457262" w:rsidP="00111C28">
                  <w:pPr>
                    <w:jc w:val="both"/>
                    <w:rPr>
                      <w:rFonts w:ascii="Arial" w:hAnsi="Arial" w:cs="Arial"/>
                      <w:sz w:val="20"/>
                      <w:szCs w:val="20"/>
                      <w:lang w:val="en-GB"/>
                    </w:rPr>
                  </w:pPr>
                </w:p>
                <w:p w14:paraId="70170EBD" w14:textId="32078D12"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20,910,000</w:t>
                  </w:r>
                </w:p>
              </w:tc>
              <w:tc>
                <w:tcPr>
                  <w:tcW w:w="1217" w:type="dxa"/>
                </w:tcPr>
                <w:p w14:paraId="25A1A575" w14:textId="77777777" w:rsidR="00457262" w:rsidRPr="009B39EC" w:rsidRDefault="00457262" w:rsidP="00111C28">
                  <w:pPr>
                    <w:jc w:val="both"/>
                    <w:rPr>
                      <w:rFonts w:ascii="Arial" w:hAnsi="Arial" w:cs="Arial"/>
                      <w:sz w:val="20"/>
                      <w:szCs w:val="20"/>
                      <w:lang w:val="en-GB"/>
                    </w:rPr>
                  </w:pPr>
                </w:p>
                <w:p w14:paraId="3F9D5A1A" w14:textId="48349E17"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20,742,116</w:t>
                  </w:r>
                </w:p>
              </w:tc>
              <w:tc>
                <w:tcPr>
                  <w:tcW w:w="1239" w:type="dxa"/>
                </w:tcPr>
                <w:p w14:paraId="74E40EB7" w14:textId="77777777" w:rsidR="00457262" w:rsidRPr="009B39EC" w:rsidRDefault="00457262" w:rsidP="00111C28">
                  <w:pPr>
                    <w:jc w:val="both"/>
                    <w:rPr>
                      <w:rFonts w:ascii="Arial" w:hAnsi="Arial" w:cs="Arial"/>
                      <w:sz w:val="20"/>
                      <w:szCs w:val="20"/>
                      <w:lang w:val="en-GB"/>
                    </w:rPr>
                  </w:pPr>
                </w:p>
                <w:p w14:paraId="12967F39" w14:textId="45554FD2"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20,920,000</w:t>
                  </w:r>
                </w:p>
              </w:tc>
              <w:tc>
                <w:tcPr>
                  <w:tcW w:w="1217" w:type="dxa"/>
                </w:tcPr>
                <w:p w14:paraId="1079E2F1" w14:textId="77777777" w:rsidR="00457262" w:rsidRPr="009B39EC" w:rsidRDefault="00457262" w:rsidP="00111C28">
                  <w:pPr>
                    <w:jc w:val="both"/>
                    <w:rPr>
                      <w:rFonts w:ascii="Arial" w:hAnsi="Arial" w:cs="Arial"/>
                      <w:sz w:val="20"/>
                      <w:szCs w:val="20"/>
                      <w:lang w:val="en-GB"/>
                    </w:rPr>
                  </w:pPr>
                </w:p>
                <w:p w14:paraId="329B7723" w14:textId="6C15841B"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20,854,580</w:t>
                  </w:r>
                </w:p>
              </w:tc>
              <w:tc>
                <w:tcPr>
                  <w:tcW w:w="1243" w:type="dxa"/>
                </w:tcPr>
                <w:p w14:paraId="46282886" w14:textId="77777777" w:rsidR="00457262" w:rsidRPr="009B39EC" w:rsidRDefault="00457262" w:rsidP="00111C28">
                  <w:pPr>
                    <w:jc w:val="both"/>
                    <w:rPr>
                      <w:rFonts w:ascii="Arial" w:hAnsi="Arial" w:cs="Arial"/>
                      <w:sz w:val="20"/>
                      <w:szCs w:val="20"/>
                      <w:lang w:val="en-GB"/>
                    </w:rPr>
                  </w:pPr>
                </w:p>
                <w:p w14:paraId="113653DB" w14:textId="2F03F704" w:rsidR="00111C28" w:rsidRPr="009B39EC" w:rsidRDefault="00111C28" w:rsidP="00111C28">
                  <w:pPr>
                    <w:jc w:val="both"/>
                    <w:rPr>
                      <w:rFonts w:ascii="Arial" w:hAnsi="Arial" w:cs="Arial"/>
                      <w:sz w:val="20"/>
                      <w:szCs w:val="20"/>
                      <w:lang w:val="en-GB"/>
                    </w:rPr>
                  </w:pPr>
                  <w:r w:rsidRPr="009B39EC">
                    <w:rPr>
                      <w:rFonts w:ascii="Arial" w:hAnsi="Arial" w:cs="Arial"/>
                      <w:sz w:val="20"/>
                      <w:szCs w:val="20"/>
                      <w:lang w:val="en-GB"/>
                    </w:rPr>
                    <w:t>22,350,000</w:t>
                  </w:r>
                </w:p>
              </w:tc>
            </w:tr>
          </w:tbl>
          <w:p w14:paraId="4B778A1E" w14:textId="77777777" w:rsidR="00720755" w:rsidRPr="009B39EC" w:rsidRDefault="00720755" w:rsidP="0014262C">
            <w:pPr>
              <w:jc w:val="both"/>
              <w:rPr>
                <w:rFonts w:ascii="Arial" w:hAnsi="Arial" w:cs="Arial"/>
                <w:sz w:val="20"/>
                <w:szCs w:val="20"/>
                <w:lang w:val="en-GB"/>
              </w:rPr>
            </w:pPr>
          </w:p>
          <w:p w14:paraId="74DBA7EF" w14:textId="333BA855" w:rsidR="00720755" w:rsidRPr="009B39EC" w:rsidRDefault="0052525C" w:rsidP="0014262C">
            <w:pPr>
              <w:jc w:val="both"/>
              <w:rPr>
                <w:rFonts w:ascii="Arial" w:hAnsi="Arial" w:cs="Arial"/>
                <w:sz w:val="20"/>
                <w:szCs w:val="20"/>
                <w:lang w:val="en-GB"/>
              </w:rPr>
            </w:pPr>
            <w:r w:rsidRPr="009B39EC">
              <w:rPr>
                <w:rFonts w:ascii="Arial" w:hAnsi="Arial" w:cs="Arial"/>
                <w:b/>
                <w:bCs/>
                <w:sz w:val="20"/>
                <w:szCs w:val="20"/>
                <w:lang w:val="en-GB"/>
              </w:rPr>
              <w:lastRenderedPageBreak/>
              <w:t>The Ministry of Justice</w:t>
            </w:r>
            <w:r w:rsidR="00720755" w:rsidRPr="009B39EC">
              <w:rPr>
                <w:rFonts w:ascii="Arial" w:hAnsi="Arial" w:cs="Arial"/>
                <w:sz w:val="20"/>
                <w:szCs w:val="20"/>
                <w:lang w:val="en-GB"/>
              </w:rPr>
              <w:t xml:space="preserve"> </w:t>
            </w:r>
            <w:r w:rsidRPr="009B39EC">
              <w:rPr>
                <w:rFonts w:ascii="Arial" w:hAnsi="Arial" w:cs="Arial"/>
                <w:sz w:val="20"/>
                <w:szCs w:val="20"/>
                <w:lang w:val="en-GB"/>
              </w:rPr>
              <w:t>has allocated funds for</w:t>
            </w:r>
            <w:r w:rsidR="00720755" w:rsidRPr="009B39EC">
              <w:rPr>
                <w:rFonts w:ascii="Arial" w:hAnsi="Arial" w:cs="Arial"/>
                <w:sz w:val="20"/>
                <w:szCs w:val="20"/>
                <w:lang w:val="en-GB"/>
              </w:rPr>
              <w:t>:</w:t>
            </w:r>
          </w:p>
          <w:p w14:paraId="7147ED09" w14:textId="332AC69F" w:rsidR="00720755" w:rsidRPr="009B39EC" w:rsidRDefault="00850A6E" w:rsidP="00720755">
            <w:pPr>
              <w:pStyle w:val="ListParagraph"/>
              <w:numPr>
                <w:ilvl w:val="0"/>
                <w:numId w:val="13"/>
              </w:numPr>
              <w:jc w:val="both"/>
              <w:rPr>
                <w:rFonts w:ascii="Arial" w:hAnsi="Arial" w:cs="Arial"/>
                <w:sz w:val="20"/>
                <w:szCs w:val="20"/>
                <w:lang w:val="en-GB"/>
              </w:rPr>
            </w:pPr>
            <w:r w:rsidRPr="009B39EC">
              <w:rPr>
                <w:rFonts w:ascii="Arial" w:hAnsi="Arial" w:cs="Arial"/>
                <w:sz w:val="20"/>
                <w:szCs w:val="20"/>
                <w:lang w:val="en-GB"/>
              </w:rPr>
              <w:t>Free legal aid for women and girls in need, in the amount of, respectively</w:t>
            </w:r>
            <w:r w:rsidR="00546CC5" w:rsidRPr="009B39EC">
              <w:rPr>
                <w:rFonts w:ascii="Arial" w:hAnsi="Arial" w:cs="Arial"/>
                <w:sz w:val="20"/>
                <w:szCs w:val="20"/>
                <w:lang w:val="en-GB"/>
              </w:rPr>
              <w:t>,</w:t>
            </w:r>
            <w:r w:rsidR="00720755" w:rsidRPr="009B39EC">
              <w:rPr>
                <w:rFonts w:ascii="Arial" w:hAnsi="Arial" w:cs="Arial"/>
                <w:sz w:val="20"/>
                <w:szCs w:val="20"/>
                <w:lang w:val="en-GB"/>
              </w:rPr>
              <w:t xml:space="preserve"> 11,000,000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92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in 20</w:t>
            </w:r>
            <w:r w:rsidR="00720755" w:rsidRPr="009B39EC">
              <w:rPr>
                <w:rFonts w:ascii="Arial" w:hAnsi="Arial" w:cs="Arial"/>
                <w:sz w:val="20"/>
                <w:szCs w:val="20"/>
                <w:lang w:val="en-GB"/>
              </w:rPr>
              <w:t xml:space="preserve">18; </w:t>
            </w:r>
            <w:r w:rsidRPr="009B39EC">
              <w:rPr>
                <w:rFonts w:ascii="Arial" w:hAnsi="Arial" w:cs="Arial"/>
                <w:sz w:val="20"/>
                <w:szCs w:val="20"/>
                <w:lang w:val="en-GB"/>
              </w:rPr>
              <w:t xml:space="preserve">ALL </w:t>
            </w:r>
            <w:r w:rsidR="00720755" w:rsidRPr="009B39EC">
              <w:rPr>
                <w:rFonts w:ascii="Arial" w:hAnsi="Arial" w:cs="Arial"/>
                <w:sz w:val="20"/>
                <w:szCs w:val="20"/>
                <w:lang w:val="en-GB"/>
              </w:rPr>
              <w:t xml:space="preserve">18,000,000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150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in 20</w:t>
            </w:r>
            <w:r w:rsidR="00720755" w:rsidRPr="009B39EC">
              <w:rPr>
                <w:rFonts w:ascii="Arial" w:hAnsi="Arial" w:cs="Arial"/>
                <w:sz w:val="20"/>
                <w:szCs w:val="20"/>
                <w:lang w:val="en-GB"/>
              </w:rPr>
              <w:t xml:space="preserve">19; 18,000,000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150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in 20</w:t>
            </w:r>
            <w:r w:rsidR="00720755" w:rsidRPr="009B39EC">
              <w:rPr>
                <w:rFonts w:ascii="Arial" w:hAnsi="Arial" w:cs="Arial"/>
                <w:sz w:val="20"/>
                <w:szCs w:val="20"/>
                <w:lang w:val="en-GB"/>
              </w:rPr>
              <w:t xml:space="preserve">20; </w:t>
            </w:r>
            <w:r w:rsidRPr="009B39EC">
              <w:rPr>
                <w:rFonts w:ascii="Arial" w:hAnsi="Arial" w:cs="Arial"/>
                <w:sz w:val="20"/>
                <w:szCs w:val="20"/>
                <w:lang w:val="en-GB"/>
              </w:rPr>
              <w:t xml:space="preserve">and </w:t>
            </w:r>
            <w:r w:rsidR="00720755" w:rsidRPr="009B39EC">
              <w:rPr>
                <w:rFonts w:ascii="Arial" w:hAnsi="Arial" w:cs="Arial"/>
                <w:sz w:val="20"/>
                <w:szCs w:val="20"/>
                <w:lang w:val="en-GB"/>
              </w:rPr>
              <w:t xml:space="preserve">28,000,000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233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 xml:space="preserve">in </w:t>
            </w:r>
            <w:proofErr w:type="gramStart"/>
            <w:r w:rsidRPr="009B39EC">
              <w:rPr>
                <w:rFonts w:ascii="Arial" w:hAnsi="Arial" w:cs="Arial"/>
                <w:sz w:val="20"/>
                <w:szCs w:val="20"/>
                <w:lang w:val="en-GB"/>
              </w:rPr>
              <w:t>20</w:t>
            </w:r>
            <w:r w:rsidR="00720755" w:rsidRPr="009B39EC">
              <w:rPr>
                <w:rFonts w:ascii="Arial" w:hAnsi="Arial" w:cs="Arial"/>
                <w:sz w:val="20"/>
                <w:szCs w:val="20"/>
                <w:lang w:val="en-GB"/>
              </w:rPr>
              <w:t>21;</w:t>
            </w:r>
            <w:proofErr w:type="gramEnd"/>
          </w:p>
          <w:p w14:paraId="356BE802" w14:textId="3530287E" w:rsidR="00720755" w:rsidRPr="009B39EC" w:rsidRDefault="00850A6E" w:rsidP="00720755">
            <w:pPr>
              <w:pStyle w:val="ListParagraph"/>
              <w:numPr>
                <w:ilvl w:val="0"/>
                <w:numId w:val="13"/>
              </w:numPr>
              <w:jc w:val="both"/>
              <w:rPr>
                <w:rFonts w:ascii="Arial" w:hAnsi="Arial" w:cs="Arial"/>
                <w:sz w:val="20"/>
                <w:szCs w:val="20"/>
                <w:lang w:val="en-GB"/>
              </w:rPr>
            </w:pPr>
            <w:r w:rsidRPr="009B39EC">
              <w:rPr>
                <w:rFonts w:ascii="Arial" w:hAnsi="Arial" w:cs="Arial"/>
                <w:sz w:val="20"/>
                <w:szCs w:val="20"/>
                <w:lang w:val="en-GB"/>
              </w:rPr>
              <w:t xml:space="preserve">Women </w:t>
            </w:r>
            <w:r w:rsidR="009C0149" w:rsidRPr="009B39EC">
              <w:rPr>
                <w:rFonts w:ascii="Arial" w:hAnsi="Arial" w:cs="Arial"/>
                <w:sz w:val="20"/>
                <w:szCs w:val="20"/>
                <w:lang w:val="en-GB"/>
              </w:rPr>
              <w:t>convicts</w:t>
            </w:r>
            <w:r w:rsidRPr="009B39EC">
              <w:rPr>
                <w:rFonts w:ascii="Arial" w:hAnsi="Arial" w:cs="Arial"/>
                <w:sz w:val="20"/>
                <w:szCs w:val="20"/>
                <w:lang w:val="en-GB"/>
              </w:rPr>
              <w:t xml:space="preserve"> </w:t>
            </w:r>
            <w:r w:rsidR="00837D74" w:rsidRPr="009B39EC">
              <w:rPr>
                <w:rFonts w:ascii="Arial" w:hAnsi="Arial" w:cs="Arial"/>
                <w:sz w:val="20"/>
                <w:szCs w:val="20"/>
                <w:lang w:val="en-GB"/>
              </w:rPr>
              <w:t xml:space="preserve">serving sentences </w:t>
            </w:r>
            <w:r w:rsidRPr="009B39EC">
              <w:rPr>
                <w:rFonts w:ascii="Arial" w:hAnsi="Arial" w:cs="Arial"/>
                <w:sz w:val="20"/>
                <w:szCs w:val="20"/>
                <w:lang w:val="en-GB"/>
              </w:rPr>
              <w:t>in Institutions for the Execution of Criminal Decisions</w:t>
            </w:r>
            <w:r w:rsidR="00720755" w:rsidRPr="009B39EC">
              <w:rPr>
                <w:rFonts w:ascii="Arial" w:hAnsi="Arial" w:cs="Arial"/>
                <w:sz w:val="20"/>
                <w:szCs w:val="20"/>
                <w:lang w:val="en-GB"/>
              </w:rPr>
              <w:t xml:space="preserve">, </w:t>
            </w:r>
            <w:r w:rsidR="00837D74" w:rsidRPr="009B39EC">
              <w:rPr>
                <w:rFonts w:ascii="Arial" w:hAnsi="Arial" w:cs="Arial"/>
                <w:sz w:val="20"/>
                <w:szCs w:val="20"/>
                <w:lang w:val="en-GB"/>
              </w:rPr>
              <w:t>in the amount of, respectively</w:t>
            </w:r>
            <w:r w:rsidR="00720755" w:rsidRPr="009B39EC">
              <w:rPr>
                <w:rFonts w:ascii="Arial" w:hAnsi="Arial" w:cs="Arial"/>
                <w:sz w:val="20"/>
                <w:szCs w:val="20"/>
                <w:lang w:val="en-GB"/>
              </w:rPr>
              <w:t xml:space="preserve">: 94,000,000 </w:t>
            </w:r>
            <w:r w:rsidR="009C0149"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783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in 20</w:t>
            </w:r>
            <w:r w:rsidR="00720755" w:rsidRPr="009B39EC">
              <w:rPr>
                <w:rFonts w:ascii="Arial" w:hAnsi="Arial" w:cs="Arial"/>
                <w:sz w:val="20"/>
                <w:szCs w:val="20"/>
                <w:lang w:val="en-GB"/>
              </w:rPr>
              <w:t xml:space="preserve">18; 94,000,000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783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in 20</w:t>
            </w:r>
            <w:r w:rsidR="00720755" w:rsidRPr="009B39EC">
              <w:rPr>
                <w:rFonts w:ascii="Arial" w:hAnsi="Arial" w:cs="Arial"/>
                <w:sz w:val="20"/>
                <w:szCs w:val="20"/>
                <w:lang w:val="en-GB"/>
              </w:rPr>
              <w:t xml:space="preserve">19; 94,000,000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783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in 20</w:t>
            </w:r>
            <w:r w:rsidR="00720755" w:rsidRPr="009B39EC">
              <w:rPr>
                <w:rFonts w:ascii="Arial" w:hAnsi="Arial" w:cs="Arial"/>
                <w:sz w:val="20"/>
                <w:szCs w:val="20"/>
                <w:lang w:val="en-GB"/>
              </w:rPr>
              <w:t xml:space="preserve">20; </w:t>
            </w:r>
            <w:r w:rsidRPr="009B39EC">
              <w:rPr>
                <w:rFonts w:ascii="Arial" w:hAnsi="Arial" w:cs="Arial"/>
                <w:sz w:val="20"/>
                <w:szCs w:val="20"/>
                <w:lang w:val="en-GB"/>
              </w:rPr>
              <w:t xml:space="preserve">and </w:t>
            </w:r>
            <w:r w:rsidR="00720755" w:rsidRPr="009B39EC">
              <w:rPr>
                <w:rFonts w:ascii="Arial" w:hAnsi="Arial" w:cs="Arial"/>
                <w:sz w:val="20"/>
                <w:szCs w:val="20"/>
                <w:lang w:val="en-GB"/>
              </w:rPr>
              <w:t xml:space="preserve">94,000,000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w:t>
            </w:r>
            <w:r w:rsidR="00720755" w:rsidRPr="009B39EC">
              <w:rPr>
                <w:rFonts w:ascii="Arial" w:hAnsi="Arial" w:cs="Arial"/>
                <w:sz w:val="20"/>
                <w:szCs w:val="20"/>
                <w:lang w:val="en-GB"/>
              </w:rPr>
              <w:t xml:space="preserve">783 </w:t>
            </w:r>
            <w:r w:rsidRPr="009B39EC">
              <w:rPr>
                <w:rFonts w:ascii="Arial" w:hAnsi="Arial" w:cs="Arial"/>
                <w:sz w:val="20"/>
                <w:szCs w:val="20"/>
                <w:lang w:val="en-GB"/>
              </w:rPr>
              <w:t>thousand Euro</w:t>
            </w:r>
            <w:r w:rsidR="00720755" w:rsidRPr="009B39EC">
              <w:rPr>
                <w:rFonts w:ascii="Arial" w:hAnsi="Arial" w:cs="Arial"/>
                <w:sz w:val="20"/>
                <w:szCs w:val="20"/>
                <w:lang w:val="en-GB"/>
              </w:rPr>
              <w:t xml:space="preserve">) </w:t>
            </w:r>
            <w:r w:rsidRPr="009B39EC">
              <w:rPr>
                <w:rFonts w:ascii="Arial" w:hAnsi="Arial" w:cs="Arial"/>
                <w:sz w:val="20"/>
                <w:szCs w:val="20"/>
                <w:lang w:val="en-GB"/>
              </w:rPr>
              <w:t xml:space="preserve">in </w:t>
            </w:r>
            <w:proofErr w:type="gramStart"/>
            <w:r w:rsidRPr="009B39EC">
              <w:rPr>
                <w:rFonts w:ascii="Arial" w:hAnsi="Arial" w:cs="Arial"/>
                <w:sz w:val="20"/>
                <w:szCs w:val="20"/>
                <w:lang w:val="en-GB"/>
              </w:rPr>
              <w:t>20</w:t>
            </w:r>
            <w:r w:rsidR="00720755" w:rsidRPr="009B39EC">
              <w:rPr>
                <w:rFonts w:ascii="Arial" w:hAnsi="Arial" w:cs="Arial"/>
                <w:sz w:val="20"/>
                <w:szCs w:val="20"/>
                <w:lang w:val="en-GB"/>
              </w:rPr>
              <w:t>21;</w:t>
            </w:r>
            <w:proofErr w:type="gramEnd"/>
          </w:p>
          <w:p w14:paraId="57338E38" w14:textId="1B726B6C" w:rsidR="00F54E1D" w:rsidRPr="009B39EC" w:rsidRDefault="00837D74" w:rsidP="00720755">
            <w:pPr>
              <w:pStyle w:val="ListParagraph"/>
              <w:numPr>
                <w:ilvl w:val="0"/>
                <w:numId w:val="13"/>
              </w:numPr>
              <w:jc w:val="both"/>
              <w:rPr>
                <w:rFonts w:ascii="Arial" w:hAnsi="Arial" w:cs="Arial"/>
                <w:sz w:val="20"/>
                <w:szCs w:val="20"/>
                <w:lang w:val="en-GB"/>
              </w:rPr>
            </w:pPr>
            <w:r w:rsidRPr="009B39EC">
              <w:rPr>
                <w:rFonts w:ascii="Arial" w:hAnsi="Arial" w:cs="Arial"/>
                <w:sz w:val="20"/>
                <w:szCs w:val="20"/>
                <w:lang w:val="en-GB"/>
              </w:rPr>
              <w:t>Convicted women on probation, in the amount of</w:t>
            </w:r>
            <w:r w:rsidR="00DE00C2" w:rsidRPr="009B39EC">
              <w:rPr>
                <w:rFonts w:ascii="Arial" w:hAnsi="Arial" w:cs="Arial"/>
                <w:sz w:val="20"/>
                <w:szCs w:val="20"/>
                <w:lang w:val="en-GB"/>
              </w:rPr>
              <w:t xml:space="preserve"> </w:t>
            </w:r>
            <w:r w:rsidR="00F54E1D" w:rsidRPr="009B39EC">
              <w:rPr>
                <w:rFonts w:ascii="Arial" w:hAnsi="Arial" w:cs="Arial"/>
                <w:sz w:val="20"/>
                <w:szCs w:val="20"/>
                <w:lang w:val="en-GB"/>
              </w:rPr>
              <w:t xml:space="preserve">15,047,000 </w:t>
            </w:r>
            <w:r w:rsidR="00546CC5" w:rsidRPr="009B39EC">
              <w:rPr>
                <w:rFonts w:ascii="Arial" w:hAnsi="Arial" w:cs="Arial"/>
                <w:sz w:val="20"/>
                <w:szCs w:val="20"/>
                <w:lang w:val="en-GB"/>
              </w:rPr>
              <w:t xml:space="preserve">ALL </w:t>
            </w:r>
            <w:r w:rsidR="00850A6E" w:rsidRPr="009B39EC">
              <w:rPr>
                <w:rFonts w:ascii="Arial" w:hAnsi="Arial" w:cs="Arial"/>
                <w:sz w:val="20"/>
                <w:szCs w:val="20"/>
                <w:lang w:val="en-GB"/>
              </w:rPr>
              <w:t xml:space="preserve">(about </w:t>
            </w:r>
            <w:r w:rsidR="00F54E1D" w:rsidRPr="009B39EC">
              <w:rPr>
                <w:rFonts w:ascii="Arial" w:hAnsi="Arial" w:cs="Arial"/>
                <w:sz w:val="20"/>
                <w:szCs w:val="20"/>
                <w:lang w:val="en-GB"/>
              </w:rPr>
              <w:t xml:space="preserve">125 </w:t>
            </w:r>
            <w:r w:rsidR="00850A6E" w:rsidRPr="009B39EC">
              <w:rPr>
                <w:rFonts w:ascii="Arial" w:hAnsi="Arial" w:cs="Arial"/>
                <w:sz w:val="20"/>
                <w:szCs w:val="20"/>
                <w:lang w:val="en-GB"/>
              </w:rPr>
              <w:t>thousand Euro</w:t>
            </w:r>
            <w:r w:rsidR="00F54E1D" w:rsidRPr="009B39EC">
              <w:rPr>
                <w:rFonts w:ascii="Arial" w:hAnsi="Arial" w:cs="Arial"/>
                <w:sz w:val="20"/>
                <w:szCs w:val="20"/>
                <w:lang w:val="en-GB"/>
              </w:rPr>
              <w:t>)</w:t>
            </w:r>
            <w:r w:rsidR="00DE00C2" w:rsidRPr="009B39EC">
              <w:rPr>
                <w:rFonts w:ascii="Arial" w:hAnsi="Arial" w:cs="Arial"/>
                <w:sz w:val="20"/>
                <w:szCs w:val="20"/>
                <w:lang w:val="en-GB"/>
              </w:rPr>
              <w:t>,</w:t>
            </w:r>
            <w:r w:rsidR="00F54E1D" w:rsidRPr="009B39EC">
              <w:rPr>
                <w:rFonts w:ascii="Arial" w:hAnsi="Arial" w:cs="Arial"/>
                <w:sz w:val="20"/>
                <w:szCs w:val="20"/>
                <w:lang w:val="en-GB"/>
              </w:rPr>
              <w:t xml:space="preserve"> 15,047,000 </w:t>
            </w:r>
            <w:r w:rsidR="00546CC5" w:rsidRPr="009B39EC">
              <w:rPr>
                <w:rFonts w:ascii="Arial" w:hAnsi="Arial" w:cs="Arial"/>
                <w:sz w:val="20"/>
                <w:szCs w:val="20"/>
                <w:lang w:val="en-GB"/>
              </w:rPr>
              <w:t xml:space="preserve">ALL </w:t>
            </w:r>
            <w:r w:rsidR="00850A6E" w:rsidRPr="009B39EC">
              <w:rPr>
                <w:rFonts w:ascii="Arial" w:hAnsi="Arial" w:cs="Arial"/>
                <w:sz w:val="20"/>
                <w:szCs w:val="20"/>
                <w:lang w:val="en-GB"/>
              </w:rPr>
              <w:t xml:space="preserve">(about </w:t>
            </w:r>
            <w:r w:rsidR="00F54E1D" w:rsidRPr="009B39EC">
              <w:rPr>
                <w:rFonts w:ascii="Arial" w:hAnsi="Arial" w:cs="Arial"/>
                <w:sz w:val="20"/>
                <w:szCs w:val="20"/>
                <w:lang w:val="en-GB"/>
              </w:rPr>
              <w:t xml:space="preserve">125 </w:t>
            </w:r>
            <w:r w:rsidR="00850A6E" w:rsidRPr="009B39EC">
              <w:rPr>
                <w:rFonts w:ascii="Arial" w:hAnsi="Arial" w:cs="Arial"/>
                <w:sz w:val="20"/>
                <w:szCs w:val="20"/>
                <w:lang w:val="en-GB"/>
              </w:rPr>
              <w:t>thousand Euro</w:t>
            </w:r>
            <w:r w:rsidR="00F54E1D" w:rsidRPr="009B39EC">
              <w:rPr>
                <w:rFonts w:ascii="Arial" w:hAnsi="Arial" w:cs="Arial"/>
                <w:sz w:val="20"/>
                <w:szCs w:val="20"/>
                <w:lang w:val="en-GB"/>
              </w:rPr>
              <w:t>)</w:t>
            </w:r>
            <w:r w:rsidR="00DE00C2" w:rsidRPr="009B39EC">
              <w:rPr>
                <w:rFonts w:ascii="Arial" w:hAnsi="Arial" w:cs="Arial"/>
                <w:sz w:val="20"/>
                <w:szCs w:val="20"/>
                <w:lang w:val="en-GB"/>
              </w:rPr>
              <w:t>,</w:t>
            </w:r>
            <w:r w:rsidR="00F54E1D" w:rsidRPr="009B39EC">
              <w:rPr>
                <w:rFonts w:ascii="Arial" w:hAnsi="Arial" w:cs="Arial"/>
                <w:sz w:val="20"/>
                <w:szCs w:val="20"/>
                <w:lang w:val="en-GB"/>
              </w:rPr>
              <w:t xml:space="preserve"> 15,047,000 </w:t>
            </w:r>
            <w:r w:rsidR="00546CC5" w:rsidRPr="009B39EC">
              <w:rPr>
                <w:rFonts w:ascii="Arial" w:hAnsi="Arial" w:cs="Arial"/>
                <w:sz w:val="20"/>
                <w:szCs w:val="20"/>
                <w:lang w:val="en-GB"/>
              </w:rPr>
              <w:t xml:space="preserve">ALL </w:t>
            </w:r>
            <w:r w:rsidR="00850A6E" w:rsidRPr="009B39EC">
              <w:rPr>
                <w:rFonts w:ascii="Arial" w:hAnsi="Arial" w:cs="Arial"/>
                <w:sz w:val="20"/>
                <w:szCs w:val="20"/>
                <w:lang w:val="en-GB"/>
              </w:rPr>
              <w:t xml:space="preserve">(about </w:t>
            </w:r>
            <w:r w:rsidR="00F54E1D" w:rsidRPr="009B39EC">
              <w:rPr>
                <w:rFonts w:ascii="Arial" w:hAnsi="Arial" w:cs="Arial"/>
                <w:sz w:val="20"/>
                <w:szCs w:val="20"/>
                <w:lang w:val="en-GB"/>
              </w:rPr>
              <w:t xml:space="preserve">125 </w:t>
            </w:r>
            <w:r w:rsidR="00850A6E" w:rsidRPr="009B39EC">
              <w:rPr>
                <w:rFonts w:ascii="Arial" w:hAnsi="Arial" w:cs="Arial"/>
                <w:sz w:val="20"/>
                <w:szCs w:val="20"/>
                <w:lang w:val="en-GB"/>
              </w:rPr>
              <w:t>thousand Euro</w:t>
            </w:r>
            <w:r w:rsidR="00F54E1D" w:rsidRPr="009B39EC">
              <w:rPr>
                <w:rFonts w:ascii="Arial" w:hAnsi="Arial" w:cs="Arial"/>
                <w:sz w:val="20"/>
                <w:szCs w:val="20"/>
                <w:lang w:val="en-GB"/>
              </w:rPr>
              <w:t xml:space="preserve">) </w:t>
            </w:r>
            <w:r w:rsidR="00DE00C2" w:rsidRPr="009B39EC">
              <w:rPr>
                <w:rFonts w:ascii="Arial" w:hAnsi="Arial" w:cs="Arial"/>
                <w:sz w:val="20"/>
                <w:szCs w:val="20"/>
                <w:lang w:val="en-GB"/>
              </w:rPr>
              <w:t xml:space="preserve">in 2018, 2019 and </w:t>
            </w:r>
            <w:r w:rsidR="00850A6E" w:rsidRPr="009B39EC">
              <w:rPr>
                <w:rFonts w:ascii="Arial" w:hAnsi="Arial" w:cs="Arial"/>
                <w:sz w:val="20"/>
                <w:szCs w:val="20"/>
                <w:lang w:val="en-GB"/>
              </w:rPr>
              <w:t>20</w:t>
            </w:r>
            <w:r w:rsidR="00F54E1D" w:rsidRPr="009B39EC">
              <w:rPr>
                <w:rFonts w:ascii="Arial" w:hAnsi="Arial" w:cs="Arial"/>
                <w:sz w:val="20"/>
                <w:szCs w:val="20"/>
                <w:lang w:val="en-GB"/>
              </w:rPr>
              <w:t>20</w:t>
            </w:r>
            <w:r w:rsidR="00DE00C2" w:rsidRPr="009B39EC">
              <w:rPr>
                <w:rFonts w:ascii="Arial" w:hAnsi="Arial" w:cs="Arial"/>
                <w:sz w:val="20"/>
                <w:szCs w:val="20"/>
                <w:lang w:val="en-GB"/>
              </w:rPr>
              <w:t xml:space="preserve"> respectively</w:t>
            </w:r>
            <w:r w:rsidR="00F54E1D" w:rsidRPr="009B39EC">
              <w:rPr>
                <w:rFonts w:ascii="Arial" w:hAnsi="Arial" w:cs="Arial"/>
                <w:sz w:val="20"/>
                <w:szCs w:val="20"/>
                <w:lang w:val="en-GB"/>
              </w:rPr>
              <w:t xml:space="preserve">; 15,047,000 </w:t>
            </w:r>
            <w:r w:rsidR="00546CC5" w:rsidRPr="009B39EC">
              <w:rPr>
                <w:rFonts w:ascii="Arial" w:hAnsi="Arial" w:cs="Arial"/>
                <w:sz w:val="20"/>
                <w:szCs w:val="20"/>
                <w:lang w:val="en-GB"/>
              </w:rPr>
              <w:t xml:space="preserve">ALL </w:t>
            </w:r>
            <w:r w:rsidR="00850A6E" w:rsidRPr="009B39EC">
              <w:rPr>
                <w:rFonts w:ascii="Arial" w:hAnsi="Arial" w:cs="Arial"/>
                <w:sz w:val="20"/>
                <w:szCs w:val="20"/>
                <w:lang w:val="en-GB"/>
              </w:rPr>
              <w:t xml:space="preserve">(about </w:t>
            </w:r>
            <w:r w:rsidR="00F54E1D" w:rsidRPr="009B39EC">
              <w:rPr>
                <w:rFonts w:ascii="Arial" w:hAnsi="Arial" w:cs="Arial"/>
                <w:sz w:val="20"/>
                <w:szCs w:val="20"/>
                <w:lang w:val="en-GB"/>
              </w:rPr>
              <w:t xml:space="preserve">125 </w:t>
            </w:r>
            <w:r w:rsidR="00850A6E" w:rsidRPr="009B39EC">
              <w:rPr>
                <w:rFonts w:ascii="Arial" w:hAnsi="Arial" w:cs="Arial"/>
                <w:sz w:val="20"/>
                <w:szCs w:val="20"/>
                <w:lang w:val="en-GB"/>
              </w:rPr>
              <w:t>thousand Euro</w:t>
            </w:r>
            <w:r w:rsidR="00F54E1D" w:rsidRPr="009B39EC">
              <w:rPr>
                <w:rFonts w:ascii="Arial" w:hAnsi="Arial" w:cs="Arial"/>
                <w:sz w:val="20"/>
                <w:szCs w:val="20"/>
                <w:lang w:val="en-GB"/>
              </w:rPr>
              <w:t xml:space="preserve">) </w:t>
            </w:r>
            <w:r w:rsidR="00DE00C2" w:rsidRPr="009B39EC">
              <w:rPr>
                <w:rFonts w:ascii="Arial" w:hAnsi="Arial" w:cs="Arial"/>
                <w:sz w:val="20"/>
                <w:szCs w:val="20"/>
                <w:lang w:val="en-GB"/>
              </w:rPr>
              <w:t xml:space="preserve">has been </w:t>
            </w:r>
            <w:r w:rsidR="009C0149" w:rsidRPr="009B39EC">
              <w:rPr>
                <w:rFonts w:ascii="Arial" w:hAnsi="Arial" w:cs="Arial"/>
                <w:sz w:val="20"/>
                <w:szCs w:val="20"/>
                <w:lang w:val="en-GB"/>
              </w:rPr>
              <w:t xml:space="preserve">allocated </w:t>
            </w:r>
            <w:r w:rsidR="00850A6E" w:rsidRPr="009B39EC">
              <w:rPr>
                <w:rFonts w:ascii="Arial" w:hAnsi="Arial" w:cs="Arial"/>
                <w:sz w:val="20"/>
                <w:szCs w:val="20"/>
                <w:lang w:val="en-GB"/>
              </w:rPr>
              <w:t xml:space="preserve">in </w:t>
            </w:r>
            <w:proofErr w:type="gramStart"/>
            <w:r w:rsidR="00850A6E" w:rsidRPr="009B39EC">
              <w:rPr>
                <w:rFonts w:ascii="Arial" w:hAnsi="Arial" w:cs="Arial"/>
                <w:sz w:val="20"/>
                <w:szCs w:val="20"/>
                <w:lang w:val="en-GB"/>
              </w:rPr>
              <w:t>20</w:t>
            </w:r>
            <w:r w:rsidR="00F54E1D" w:rsidRPr="009B39EC">
              <w:rPr>
                <w:rFonts w:ascii="Arial" w:hAnsi="Arial" w:cs="Arial"/>
                <w:sz w:val="20"/>
                <w:szCs w:val="20"/>
                <w:lang w:val="en-GB"/>
              </w:rPr>
              <w:t>21;</w:t>
            </w:r>
            <w:proofErr w:type="gramEnd"/>
          </w:p>
          <w:p w14:paraId="1A8E5D9A" w14:textId="1797DB4D" w:rsidR="00F54E1D" w:rsidRPr="009B39EC" w:rsidRDefault="00445CB5" w:rsidP="00720755">
            <w:pPr>
              <w:pStyle w:val="ListParagraph"/>
              <w:numPr>
                <w:ilvl w:val="0"/>
                <w:numId w:val="13"/>
              </w:numPr>
              <w:jc w:val="both"/>
              <w:rPr>
                <w:rFonts w:ascii="Arial" w:hAnsi="Arial" w:cs="Arial"/>
                <w:sz w:val="20"/>
                <w:szCs w:val="20"/>
                <w:lang w:val="en-GB"/>
              </w:rPr>
            </w:pPr>
            <w:r w:rsidRPr="009B39EC">
              <w:rPr>
                <w:rFonts w:ascii="Arial" w:hAnsi="Arial" w:cs="Arial"/>
                <w:sz w:val="20"/>
                <w:szCs w:val="20"/>
                <w:lang w:val="en-GB"/>
              </w:rPr>
              <w:t xml:space="preserve">Protection orders granted to women, in the amount of, respectively: 5,402,000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45 thousand Euro) in 2018; 4,570,000 </w:t>
            </w:r>
            <w:r w:rsidR="00546CC5" w:rsidRPr="009B39EC">
              <w:rPr>
                <w:rFonts w:ascii="Arial" w:hAnsi="Arial" w:cs="Arial"/>
                <w:sz w:val="20"/>
                <w:szCs w:val="20"/>
                <w:lang w:val="en-GB"/>
              </w:rPr>
              <w:t xml:space="preserve">ALL </w:t>
            </w:r>
            <w:r w:rsidRPr="009B39EC">
              <w:rPr>
                <w:rFonts w:ascii="Arial" w:hAnsi="Arial" w:cs="Arial"/>
                <w:sz w:val="20"/>
                <w:szCs w:val="20"/>
                <w:lang w:val="en-GB"/>
              </w:rPr>
              <w:t xml:space="preserve">(about 38 thousand Euro) in 2019; 3,195,000 </w:t>
            </w:r>
            <w:r w:rsidR="00546CC5" w:rsidRPr="009B39EC">
              <w:rPr>
                <w:rFonts w:ascii="Arial" w:hAnsi="Arial" w:cs="Arial"/>
                <w:sz w:val="20"/>
                <w:szCs w:val="20"/>
                <w:lang w:val="en-GB"/>
              </w:rPr>
              <w:t xml:space="preserve">ALL </w:t>
            </w:r>
            <w:r w:rsidRPr="009B39EC">
              <w:rPr>
                <w:rFonts w:ascii="Arial" w:hAnsi="Arial" w:cs="Arial"/>
                <w:sz w:val="20"/>
                <w:szCs w:val="20"/>
                <w:lang w:val="en-GB"/>
              </w:rPr>
              <w:t>(about 26.6 thousand Euro) in 2020; and 4,492,000 ALL (about 37.4 thousand Euro) in 2021</w:t>
            </w:r>
          </w:p>
          <w:p w14:paraId="7E386C6C" w14:textId="55A46657" w:rsidR="00F7030F" w:rsidRPr="009B39EC" w:rsidRDefault="00F7030F" w:rsidP="00252A57">
            <w:pPr>
              <w:jc w:val="both"/>
              <w:rPr>
                <w:rFonts w:ascii="Arial" w:hAnsi="Arial" w:cs="Arial"/>
                <w:sz w:val="20"/>
                <w:szCs w:val="20"/>
                <w:highlight w:val="yellow"/>
                <w:lang w:val="en-GB"/>
              </w:rPr>
            </w:pPr>
          </w:p>
          <w:p w14:paraId="1EF7023B" w14:textId="7412E670" w:rsidR="00F7030F" w:rsidRPr="009B39EC" w:rsidRDefault="00837D74" w:rsidP="00252A57">
            <w:pPr>
              <w:jc w:val="both"/>
              <w:rPr>
                <w:rFonts w:ascii="Arial" w:hAnsi="Arial" w:cs="Arial"/>
                <w:sz w:val="20"/>
                <w:szCs w:val="20"/>
                <w:lang w:val="en-GB"/>
              </w:rPr>
            </w:pPr>
            <w:r w:rsidRPr="009B39EC">
              <w:rPr>
                <w:rFonts w:ascii="Arial" w:hAnsi="Arial" w:cs="Arial"/>
                <w:sz w:val="20"/>
                <w:szCs w:val="20"/>
                <w:lang w:val="en-GB"/>
              </w:rPr>
              <w:t xml:space="preserve">In </w:t>
            </w:r>
            <w:r w:rsidR="00F7030F" w:rsidRPr="009B39EC">
              <w:rPr>
                <w:rFonts w:ascii="Arial" w:hAnsi="Arial" w:cs="Arial"/>
                <w:sz w:val="20"/>
                <w:szCs w:val="20"/>
                <w:lang w:val="en-GB"/>
              </w:rPr>
              <w:t>2019</w:t>
            </w:r>
            <w:r w:rsidRPr="009B39EC">
              <w:rPr>
                <w:rFonts w:ascii="Arial" w:hAnsi="Arial" w:cs="Arial"/>
                <w:sz w:val="20"/>
                <w:szCs w:val="20"/>
                <w:lang w:val="en-GB"/>
              </w:rPr>
              <w:t>, the Ministry of Justice signed</w:t>
            </w:r>
            <w:r w:rsidR="00F7030F" w:rsidRPr="009B39EC">
              <w:rPr>
                <w:rFonts w:ascii="Arial" w:hAnsi="Arial" w:cs="Arial"/>
                <w:sz w:val="20"/>
                <w:szCs w:val="20"/>
                <w:lang w:val="en-GB"/>
              </w:rPr>
              <w:t xml:space="preserve"> </w:t>
            </w:r>
            <w:r w:rsidRPr="009B39EC">
              <w:rPr>
                <w:rFonts w:ascii="Arial" w:hAnsi="Arial" w:cs="Arial"/>
                <w:sz w:val="20"/>
                <w:szCs w:val="20"/>
                <w:lang w:val="en-GB"/>
              </w:rPr>
              <w:t xml:space="preserve">a </w:t>
            </w:r>
            <w:r w:rsidR="00694FCA" w:rsidRPr="009B39EC">
              <w:rPr>
                <w:rFonts w:ascii="Arial" w:hAnsi="Arial" w:cs="Arial"/>
                <w:sz w:val="20"/>
                <w:szCs w:val="20"/>
                <w:lang w:val="en-GB"/>
              </w:rPr>
              <w:t xml:space="preserve">joint </w:t>
            </w:r>
            <w:r w:rsidRPr="009B39EC">
              <w:rPr>
                <w:rFonts w:ascii="Arial" w:hAnsi="Arial" w:cs="Arial"/>
                <w:sz w:val="20"/>
                <w:szCs w:val="20"/>
                <w:lang w:val="en-GB"/>
              </w:rPr>
              <w:t xml:space="preserve">project with the </w:t>
            </w:r>
            <w:r w:rsidR="00F7030F" w:rsidRPr="009B39EC">
              <w:rPr>
                <w:rFonts w:ascii="Arial" w:hAnsi="Arial" w:cs="Arial"/>
                <w:sz w:val="20"/>
                <w:szCs w:val="20"/>
                <w:lang w:val="en-GB"/>
              </w:rPr>
              <w:t>UNDP “</w:t>
            </w:r>
            <w:r w:rsidRPr="009B39EC">
              <w:rPr>
                <w:rFonts w:ascii="Arial" w:hAnsi="Arial" w:cs="Arial"/>
                <w:sz w:val="20"/>
                <w:szCs w:val="20"/>
                <w:lang w:val="en-GB"/>
              </w:rPr>
              <w:t xml:space="preserve">On expanding free legal </w:t>
            </w:r>
            <w:r w:rsidR="008D5C05" w:rsidRPr="009B39EC">
              <w:rPr>
                <w:rFonts w:ascii="Arial" w:hAnsi="Arial" w:cs="Arial"/>
                <w:sz w:val="20"/>
                <w:szCs w:val="20"/>
                <w:lang w:val="en-GB"/>
              </w:rPr>
              <w:t xml:space="preserve">aid </w:t>
            </w:r>
            <w:r w:rsidRPr="009B39EC">
              <w:rPr>
                <w:rFonts w:ascii="Arial" w:hAnsi="Arial" w:cs="Arial"/>
                <w:sz w:val="20"/>
                <w:szCs w:val="20"/>
                <w:lang w:val="en-GB"/>
              </w:rPr>
              <w:t>services for women and men in Albania”</w:t>
            </w:r>
            <w:r w:rsidR="008D5C05" w:rsidRPr="009B39EC">
              <w:rPr>
                <w:rFonts w:ascii="Arial" w:hAnsi="Arial" w:cs="Arial"/>
                <w:sz w:val="20"/>
                <w:szCs w:val="20"/>
                <w:lang w:val="en-GB"/>
              </w:rPr>
              <w:t xml:space="preserve"> in the amount of </w:t>
            </w:r>
            <w:r w:rsidR="00F7030F" w:rsidRPr="009B39EC">
              <w:rPr>
                <w:rFonts w:ascii="Arial" w:hAnsi="Arial" w:cs="Arial"/>
                <w:sz w:val="20"/>
                <w:szCs w:val="20"/>
                <w:lang w:val="en-GB"/>
              </w:rPr>
              <w:t>1,000,000 (</w:t>
            </w:r>
            <w:r w:rsidRPr="009B39EC">
              <w:rPr>
                <w:rFonts w:ascii="Arial" w:hAnsi="Arial" w:cs="Arial"/>
                <w:sz w:val="20"/>
                <w:szCs w:val="20"/>
                <w:lang w:val="en-GB"/>
              </w:rPr>
              <w:t>one</w:t>
            </w:r>
            <w:r w:rsidR="00F7030F" w:rsidRPr="009B39EC">
              <w:rPr>
                <w:rFonts w:ascii="Arial" w:hAnsi="Arial" w:cs="Arial"/>
                <w:sz w:val="20"/>
                <w:szCs w:val="20"/>
                <w:lang w:val="en-GB"/>
              </w:rPr>
              <w:t xml:space="preserve"> million </w:t>
            </w:r>
            <w:r w:rsidRPr="009B39EC">
              <w:rPr>
                <w:rFonts w:ascii="Arial" w:hAnsi="Arial" w:cs="Arial"/>
                <w:sz w:val="20"/>
                <w:szCs w:val="20"/>
                <w:lang w:val="en-GB"/>
              </w:rPr>
              <w:t>Euro</w:t>
            </w:r>
            <w:r w:rsidR="00694FCA" w:rsidRPr="009B39EC">
              <w:rPr>
                <w:rFonts w:ascii="Arial" w:hAnsi="Arial" w:cs="Arial"/>
                <w:sz w:val="20"/>
                <w:szCs w:val="20"/>
                <w:lang w:val="en-GB"/>
              </w:rPr>
              <w:t>)</w:t>
            </w:r>
            <w:r w:rsidRPr="009B39EC">
              <w:rPr>
                <w:rFonts w:ascii="Arial" w:hAnsi="Arial" w:cs="Arial"/>
                <w:sz w:val="20"/>
                <w:szCs w:val="20"/>
                <w:lang w:val="en-GB"/>
              </w:rPr>
              <w:t xml:space="preserve"> for the period</w:t>
            </w:r>
            <w:r w:rsidR="00F7030F" w:rsidRPr="009B39EC">
              <w:rPr>
                <w:rFonts w:ascii="Arial" w:hAnsi="Arial" w:cs="Arial"/>
                <w:sz w:val="20"/>
                <w:szCs w:val="20"/>
                <w:lang w:val="en-GB"/>
              </w:rPr>
              <w:t xml:space="preserve"> 2019-2022.</w:t>
            </w:r>
          </w:p>
          <w:p w14:paraId="522EFA61" w14:textId="77777777" w:rsidR="000155E7" w:rsidRPr="009B39EC" w:rsidRDefault="000155E7" w:rsidP="004C4194">
            <w:pPr>
              <w:jc w:val="both"/>
              <w:rPr>
                <w:rFonts w:ascii="Arial" w:hAnsi="Arial" w:cs="Arial"/>
                <w:sz w:val="20"/>
                <w:szCs w:val="20"/>
                <w:lang w:val="en-GB"/>
              </w:rPr>
            </w:pPr>
          </w:p>
          <w:p w14:paraId="21934088" w14:textId="12E7140C" w:rsidR="00F7030F" w:rsidRPr="009B39EC" w:rsidRDefault="000903D1" w:rsidP="004C4194">
            <w:pPr>
              <w:jc w:val="both"/>
              <w:rPr>
                <w:rFonts w:ascii="Arial" w:hAnsi="Arial" w:cs="Arial"/>
                <w:sz w:val="20"/>
                <w:szCs w:val="20"/>
                <w:lang w:val="en-GB"/>
              </w:rPr>
            </w:pPr>
            <w:r w:rsidRPr="009B39EC">
              <w:rPr>
                <w:rFonts w:ascii="Arial" w:hAnsi="Arial" w:cs="Arial"/>
                <w:sz w:val="20"/>
                <w:szCs w:val="20"/>
                <w:lang w:val="en-GB"/>
              </w:rPr>
              <w:t xml:space="preserve">The proper </w:t>
            </w:r>
            <w:r w:rsidR="00326DA7" w:rsidRPr="009B39EC">
              <w:rPr>
                <w:rFonts w:ascii="Arial" w:hAnsi="Arial" w:cs="Arial"/>
                <w:sz w:val="20"/>
                <w:szCs w:val="20"/>
                <w:lang w:val="en-GB"/>
              </w:rPr>
              <w:t xml:space="preserve">implementation </w:t>
            </w:r>
            <w:r w:rsidRPr="009B39EC">
              <w:rPr>
                <w:rFonts w:ascii="Arial" w:hAnsi="Arial" w:cs="Arial"/>
                <w:sz w:val="20"/>
                <w:szCs w:val="20"/>
                <w:lang w:val="en-GB"/>
              </w:rPr>
              <w:t xml:space="preserve">of </w:t>
            </w:r>
            <w:r w:rsidRPr="009B39EC">
              <w:rPr>
                <w:rFonts w:ascii="Arial" w:hAnsi="Arial" w:cs="Arial"/>
                <w:b/>
                <w:bCs/>
                <w:sz w:val="20"/>
                <w:szCs w:val="20"/>
                <w:lang w:val="en-GB"/>
              </w:rPr>
              <w:t>Gender-Responsive Budgeting</w:t>
            </w:r>
            <w:r w:rsidRPr="009B39EC">
              <w:rPr>
                <w:rFonts w:ascii="Arial" w:hAnsi="Arial" w:cs="Arial"/>
                <w:sz w:val="20"/>
                <w:szCs w:val="20"/>
                <w:lang w:val="en-GB"/>
              </w:rPr>
              <w:t>, both at the central and the local self-government level</w:t>
            </w:r>
            <w:r w:rsidR="00326DA7" w:rsidRPr="009B39EC">
              <w:rPr>
                <w:rFonts w:ascii="Arial" w:hAnsi="Arial" w:cs="Arial"/>
                <w:sz w:val="20"/>
                <w:szCs w:val="20"/>
                <w:lang w:val="en-GB"/>
              </w:rPr>
              <w:t>,</w:t>
            </w:r>
            <w:r w:rsidRPr="009B39EC">
              <w:rPr>
                <w:rFonts w:ascii="Arial" w:hAnsi="Arial" w:cs="Arial"/>
                <w:sz w:val="20"/>
                <w:szCs w:val="20"/>
                <w:lang w:val="en-GB"/>
              </w:rPr>
              <w:t xml:space="preserve"> is o</w:t>
            </w:r>
            <w:r w:rsidR="00DE00C2" w:rsidRPr="009B39EC">
              <w:rPr>
                <w:rFonts w:ascii="Arial" w:hAnsi="Arial" w:cs="Arial"/>
                <w:sz w:val="20"/>
                <w:szCs w:val="20"/>
                <w:lang w:val="en-GB"/>
              </w:rPr>
              <w:t xml:space="preserve">f </w:t>
            </w:r>
            <w:r w:rsidRPr="009B39EC">
              <w:rPr>
                <w:rFonts w:ascii="Arial" w:hAnsi="Arial" w:cs="Arial"/>
                <w:sz w:val="20"/>
                <w:szCs w:val="20"/>
                <w:lang w:val="en-GB"/>
              </w:rPr>
              <w:t>paramount</w:t>
            </w:r>
            <w:r w:rsidR="00DE00C2" w:rsidRPr="009B39EC">
              <w:rPr>
                <w:rFonts w:ascii="Arial" w:hAnsi="Arial" w:cs="Arial"/>
                <w:sz w:val="20"/>
                <w:szCs w:val="20"/>
                <w:lang w:val="en-GB"/>
              </w:rPr>
              <w:t xml:space="preserve"> importance</w:t>
            </w:r>
            <w:r w:rsidR="00546B46" w:rsidRPr="009B39EC">
              <w:rPr>
                <w:rFonts w:ascii="Arial" w:hAnsi="Arial" w:cs="Arial"/>
                <w:sz w:val="20"/>
                <w:szCs w:val="20"/>
                <w:lang w:val="en-GB"/>
              </w:rPr>
              <w:t xml:space="preserve"> </w:t>
            </w:r>
            <w:r w:rsidRPr="009B39EC">
              <w:rPr>
                <w:rFonts w:ascii="Arial" w:hAnsi="Arial" w:cs="Arial"/>
                <w:sz w:val="20"/>
                <w:szCs w:val="20"/>
                <w:lang w:val="en-GB"/>
              </w:rPr>
              <w:t xml:space="preserve">in </w:t>
            </w:r>
            <w:r w:rsidR="00DE00C2" w:rsidRPr="009B39EC">
              <w:rPr>
                <w:rFonts w:ascii="Arial" w:hAnsi="Arial" w:cs="Arial"/>
                <w:sz w:val="20"/>
                <w:szCs w:val="20"/>
                <w:lang w:val="en-GB"/>
              </w:rPr>
              <w:t xml:space="preserve">allocation of funds for activities </w:t>
            </w:r>
            <w:r w:rsidR="00326DA7" w:rsidRPr="009B39EC">
              <w:rPr>
                <w:rFonts w:ascii="Arial" w:hAnsi="Arial" w:cs="Arial"/>
                <w:sz w:val="20"/>
                <w:szCs w:val="20"/>
                <w:lang w:val="en-GB"/>
              </w:rPr>
              <w:t>aimed at</w:t>
            </w:r>
            <w:r w:rsidR="00DE00C2" w:rsidRPr="009B39EC">
              <w:rPr>
                <w:rFonts w:ascii="Arial" w:hAnsi="Arial" w:cs="Arial"/>
                <w:sz w:val="20"/>
                <w:szCs w:val="20"/>
                <w:lang w:val="en-GB"/>
              </w:rPr>
              <w:t xml:space="preserve"> preventing and combatting all forms of violence against women covered by the Istanbul Convention. </w:t>
            </w:r>
            <w:r w:rsidR="00546B46" w:rsidRPr="009B39EC">
              <w:rPr>
                <w:rFonts w:ascii="Arial" w:hAnsi="Arial" w:cs="Arial"/>
                <w:sz w:val="20"/>
                <w:szCs w:val="20"/>
                <w:lang w:val="en-GB"/>
              </w:rPr>
              <w:t>In the 2017-2019 Medium-Term Budget Programme (MTBP), t</w:t>
            </w:r>
            <w:r w:rsidR="00DE00C2" w:rsidRPr="009B39EC">
              <w:rPr>
                <w:rFonts w:ascii="Arial" w:hAnsi="Arial" w:cs="Arial"/>
                <w:sz w:val="20"/>
                <w:szCs w:val="20"/>
                <w:lang w:val="en-GB"/>
              </w:rPr>
              <w:t>he budgetary funds</w:t>
            </w:r>
            <w:r w:rsidR="00546B46" w:rsidRPr="009B39EC">
              <w:rPr>
                <w:rFonts w:ascii="Arial" w:hAnsi="Arial" w:cs="Arial"/>
                <w:sz w:val="20"/>
                <w:szCs w:val="20"/>
                <w:lang w:val="en-GB"/>
              </w:rPr>
              <w:t xml:space="preserve"> </w:t>
            </w:r>
            <w:r w:rsidR="00326DA7" w:rsidRPr="009B39EC">
              <w:rPr>
                <w:rFonts w:ascii="Arial" w:hAnsi="Arial" w:cs="Arial"/>
                <w:sz w:val="20"/>
                <w:szCs w:val="20"/>
                <w:lang w:val="en-GB"/>
              </w:rPr>
              <w:t>to which g</w:t>
            </w:r>
            <w:r w:rsidR="00DE00C2" w:rsidRPr="009B39EC">
              <w:rPr>
                <w:rFonts w:ascii="Arial" w:hAnsi="Arial" w:cs="Arial"/>
                <w:sz w:val="20"/>
                <w:szCs w:val="20"/>
                <w:lang w:val="en-GB"/>
              </w:rPr>
              <w:t>ender</w:t>
            </w:r>
            <w:r w:rsidR="00326DA7" w:rsidRPr="009B39EC">
              <w:rPr>
                <w:rFonts w:ascii="Arial" w:hAnsi="Arial" w:cs="Arial"/>
                <w:sz w:val="20"/>
                <w:szCs w:val="20"/>
                <w:lang w:val="en-GB"/>
              </w:rPr>
              <w:t xml:space="preserve"> r</w:t>
            </w:r>
            <w:r w:rsidR="00DE00C2" w:rsidRPr="009B39EC">
              <w:rPr>
                <w:rFonts w:ascii="Arial" w:hAnsi="Arial" w:cs="Arial"/>
                <w:sz w:val="20"/>
                <w:szCs w:val="20"/>
                <w:lang w:val="en-GB"/>
              </w:rPr>
              <w:t xml:space="preserve">esponsive </w:t>
            </w:r>
            <w:r w:rsidR="00326DA7" w:rsidRPr="009B39EC">
              <w:rPr>
                <w:rFonts w:ascii="Arial" w:hAnsi="Arial" w:cs="Arial"/>
                <w:sz w:val="20"/>
                <w:szCs w:val="20"/>
                <w:lang w:val="en-GB"/>
              </w:rPr>
              <w:t>b</w:t>
            </w:r>
            <w:r w:rsidR="00DE00C2" w:rsidRPr="009B39EC">
              <w:rPr>
                <w:rFonts w:ascii="Arial" w:hAnsi="Arial" w:cs="Arial"/>
                <w:sz w:val="20"/>
                <w:szCs w:val="20"/>
                <w:lang w:val="en-GB"/>
              </w:rPr>
              <w:t xml:space="preserve">udgeting </w:t>
            </w:r>
            <w:r w:rsidR="00326DA7" w:rsidRPr="009B39EC">
              <w:rPr>
                <w:rFonts w:ascii="Arial" w:hAnsi="Arial" w:cs="Arial"/>
                <w:sz w:val="20"/>
                <w:szCs w:val="20"/>
                <w:lang w:val="en-GB"/>
              </w:rPr>
              <w:t xml:space="preserve">is applied </w:t>
            </w:r>
            <w:r w:rsidR="00DE00C2" w:rsidRPr="009B39EC">
              <w:rPr>
                <w:rFonts w:ascii="Arial" w:hAnsi="Arial" w:cs="Arial"/>
                <w:sz w:val="20"/>
                <w:szCs w:val="20"/>
                <w:lang w:val="en-GB"/>
              </w:rPr>
              <w:t>amount</w:t>
            </w:r>
            <w:r w:rsidR="00546B46" w:rsidRPr="009B39EC">
              <w:rPr>
                <w:rFonts w:ascii="Arial" w:hAnsi="Arial" w:cs="Arial"/>
                <w:sz w:val="20"/>
                <w:szCs w:val="20"/>
                <w:lang w:val="en-GB"/>
              </w:rPr>
              <w:t>ed</w:t>
            </w:r>
            <w:r w:rsidR="00DE00C2" w:rsidRPr="009B39EC">
              <w:rPr>
                <w:rFonts w:ascii="Arial" w:hAnsi="Arial" w:cs="Arial"/>
                <w:sz w:val="20"/>
                <w:szCs w:val="20"/>
                <w:lang w:val="en-GB"/>
              </w:rPr>
              <w:t xml:space="preserve"> to USD </w:t>
            </w:r>
            <w:r w:rsidR="00D826A3" w:rsidRPr="009B39EC">
              <w:rPr>
                <w:rFonts w:ascii="Arial" w:hAnsi="Arial" w:cs="Arial"/>
                <w:sz w:val="20"/>
                <w:szCs w:val="20"/>
                <w:lang w:val="en-GB"/>
              </w:rPr>
              <w:t>90 mil</w:t>
            </w:r>
            <w:r w:rsidR="00DE00C2" w:rsidRPr="009B39EC">
              <w:rPr>
                <w:rFonts w:ascii="Arial" w:hAnsi="Arial" w:cs="Arial"/>
                <w:sz w:val="20"/>
                <w:szCs w:val="20"/>
                <w:lang w:val="en-GB"/>
              </w:rPr>
              <w:t xml:space="preserve">lion; </w:t>
            </w:r>
            <w:r w:rsidR="00546B46" w:rsidRPr="009B39EC">
              <w:rPr>
                <w:rFonts w:ascii="Arial" w:hAnsi="Arial" w:cs="Arial"/>
                <w:sz w:val="20"/>
                <w:szCs w:val="20"/>
                <w:lang w:val="en-GB"/>
              </w:rPr>
              <w:t xml:space="preserve">in </w:t>
            </w:r>
            <w:r w:rsidR="00DE00C2" w:rsidRPr="009B39EC">
              <w:rPr>
                <w:rFonts w:ascii="Arial" w:hAnsi="Arial" w:cs="Arial"/>
                <w:sz w:val="20"/>
                <w:szCs w:val="20"/>
                <w:lang w:val="en-GB"/>
              </w:rPr>
              <w:t xml:space="preserve">the </w:t>
            </w:r>
            <w:r w:rsidR="00D826A3" w:rsidRPr="009B39EC">
              <w:rPr>
                <w:rFonts w:ascii="Arial" w:hAnsi="Arial" w:cs="Arial"/>
                <w:sz w:val="20"/>
                <w:szCs w:val="20"/>
                <w:lang w:val="en-GB"/>
              </w:rPr>
              <w:t xml:space="preserve">2018-2020 </w:t>
            </w:r>
            <w:r w:rsidR="00DE00C2" w:rsidRPr="009B39EC">
              <w:rPr>
                <w:rFonts w:ascii="Arial" w:hAnsi="Arial" w:cs="Arial"/>
                <w:sz w:val="20"/>
                <w:szCs w:val="20"/>
                <w:lang w:val="en-GB"/>
              </w:rPr>
              <w:t xml:space="preserve">MTPB </w:t>
            </w:r>
            <w:r w:rsidR="00546B46" w:rsidRPr="009B39EC">
              <w:rPr>
                <w:rFonts w:ascii="Arial" w:hAnsi="Arial" w:cs="Arial"/>
                <w:sz w:val="20"/>
                <w:szCs w:val="20"/>
                <w:lang w:val="en-GB"/>
              </w:rPr>
              <w:t>this went up to USD</w:t>
            </w:r>
            <w:r w:rsidR="00D826A3" w:rsidRPr="009B39EC">
              <w:rPr>
                <w:rFonts w:ascii="Arial" w:hAnsi="Arial" w:cs="Arial"/>
                <w:sz w:val="20"/>
                <w:szCs w:val="20"/>
                <w:lang w:val="en-GB"/>
              </w:rPr>
              <w:t xml:space="preserve"> 120 mil</w:t>
            </w:r>
            <w:r w:rsidR="00546B46" w:rsidRPr="009B39EC">
              <w:rPr>
                <w:rFonts w:ascii="Arial" w:hAnsi="Arial" w:cs="Arial"/>
                <w:sz w:val="20"/>
                <w:szCs w:val="20"/>
                <w:lang w:val="en-GB"/>
              </w:rPr>
              <w:t>l</w:t>
            </w:r>
            <w:r w:rsidR="00D826A3" w:rsidRPr="009B39EC">
              <w:rPr>
                <w:rFonts w:ascii="Arial" w:hAnsi="Arial" w:cs="Arial"/>
                <w:sz w:val="20"/>
                <w:szCs w:val="20"/>
                <w:lang w:val="en-GB"/>
              </w:rPr>
              <w:t xml:space="preserve">ion </w:t>
            </w:r>
            <w:r w:rsidR="00546B46" w:rsidRPr="009B39EC">
              <w:rPr>
                <w:rFonts w:ascii="Arial" w:hAnsi="Arial" w:cs="Arial"/>
                <w:sz w:val="20"/>
                <w:szCs w:val="20"/>
                <w:lang w:val="en-GB"/>
              </w:rPr>
              <w:t xml:space="preserve">and in the </w:t>
            </w:r>
            <w:r w:rsidR="00D826A3" w:rsidRPr="009B39EC">
              <w:rPr>
                <w:rFonts w:ascii="Arial" w:hAnsi="Arial" w:cs="Arial"/>
                <w:sz w:val="20"/>
                <w:szCs w:val="20"/>
                <w:lang w:val="en-GB"/>
              </w:rPr>
              <w:t>2019-2021</w:t>
            </w:r>
            <w:r w:rsidR="00546B46" w:rsidRPr="009B39EC">
              <w:rPr>
                <w:rFonts w:ascii="Arial" w:hAnsi="Arial" w:cs="Arial"/>
                <w:sz w:val="20"/>
                <w:szCs w:val="20"/>
                <w:lang w:val="en-GB"/>
              </w:rPr>
              <w:t xml:space="preserve"> MTPB,</w:t>
            </w:r>
            <w:r w:rsidR="00D826A3" w:rsidRPr="009B39EC">
              <w:rPr>
                <w:rFonts w:ascii="Arial" w:hAnsi="Arial" w:cs="Arial"/>
                <w:sz w:val="20"/>
                <w:szCs w:val="20"/>
                <w:lang w:val="en-GB"/>
              </w:rPr>
              <w:t xml:space="preserve"> </w:t>
            </w:r>
            <w:r w:rsidR="00546B46" w:rsidRPr="009B39EC">
              <w:rPr>
                <w:rFonts w:ascii="Arial" w:hAnsi="Arial" w:cs="Arial"/>
                <w:sz w:val="20"/>
                <w:szCs w:val="20"/>
                <w:lang w:val="en-GB"/>
              </w:rPr>
              <w:t xml:space="preserve">USD </w:t>
            </w:r>
            <w:r w:rsidR="00D826A3" w:rsidRPr="009B39EC">
              <w:rPr>
                <w:rFonts w:ascii="Arial" w:hAnsi="Arial" w:cs="Arial"/>
                <w:sz w:val="20"/>
                <w:szCs w:val="20"/>
                <w:lang w:val="en-GB"/>
              </w:rPr>
              <w:t>285 mi</w:t>
            </w:r>
            <w:r w:rsidR="00546B46" w:rsidRPr="009B39EC">
              <w:rPr>
                <w:rFonts w:ascii="Arial" w:hAnsi="Arial" w:cs="Arial"/>
                <w:sz w:val="20"/>
                <w:szCs w:val="20"/>
                <w:lang w:val="en-GB"/>
              </w:rPr>
              <w:t>l</w:t>
            </w:r>
            <w:r w:rsidR="00D826A3" w:rsidRPr="009B39EC">
              <w:rPr>
                <w:rFonts w:ascii="Arial" w:hAnsi="Arial" w:cs="Arial"/>
                <w:sz w:val="20"/>
                <w:szCs w:val="20"/>
                <w:lang w:val="en-GB"/>
              </w:rPr>
              <w:t>lion (</w:t>
            </w:r>
            <w:r w:rsidR="00546B46" w:rsidRPr="009B39EC">
              <w:rPr>
                <w:rFonts w:ascii="Arial" w:hAnsi="Arial" w:cs="Arial"/>
                <w:sz w:val="20"/>
                <w:szCs w:val="20"/>
                <w:lang w:val="en-GB"/>
              </w:rPr>
              <w:t xml:space="preserve">for more </w:t>
            </w:r>
            <w:r w:rsidR="00A3031F" w:rsidRPr="009B39EC">
              <w:rPr>
                <w:rFonts w:ascii="Arial" w:hAnsi="Arial" w:cs="Arial"/>
                <w:sz w:val="20"/>
                <w:szCs w:val="20"/>
                <w:lang w:val="en-GB"/>
              </w:rPr>
              <w:t>details</w:t>
            </w:r>
            <w:r w:rsidR="00546B46" w:rsidRPr="009B39EC">
              <w:rPr>
                <w:rFonts w:ascii="Arial" w:hAnsi="Arial" w:cs="Arial"/>
                <w:sz w:val="20"/>
                <w:szCs w:val="20"/>
                <w:lang w:val="en-GB"/>
              </w:rPr>
              <w:t xml:space="preserve">, see table in Annex </w:t>
            </w:r>
            <w:r w:rsidR="004E1005" w:rsidRPr="009B39EC">
              <w:rPr>
                <w:rFonts w:ascii="Arial" w:hAnsi="Arial" w:cs="Arial"/>
                <w:sz w:val="20"/>
                <w:szCs w:val="20"/>
                <w:lang w:val="en-GB"/>
              </w:rPr>
              <w:t>4</w:t>
            </w:r>
            <w:r w:rsidR="00D826A3" w:rsidRPr="009B39EC">
              <w:rPr>
                <w:rFonts w:ascii="Arial" w:hAnsi="Arial" w:cs="Arial"/>
                <w:sz w:val="20"/>
                <w:szCs w:val="20"/>
                <w:lang w:val="en-GB"/>
              </w:rPr>
              <w:t xml:space="preserve">). </w:t>
            </w:r>
            <w:r w:rsidR="00A3031F" w:rsidRPr="009B39EC">
              <w:rPr>
                <w:rFonts w:ascii="Arial" w:hAnsi="Arial" w:cs="Arial"/>
                <w:sz w:val="20"/>
                <w:szCs w:val="20"/>
                <w:lang w:val="en-GB"/>
              </w:rPr>
              <w:t xml:space="preserve">The Law on Local Self-Government Financing </w:t>
            </w:r>
            <w:r w:rsidR="00D826A3" w:rsidRPr="009B39EC">
              <w:rPr>
                <w:rFonts w:ascii="Arial" w:hAnsi="Arial" w:cs="Arial"/>
                <w:sz w:val="20"/>
                <w:szCs w:val="20"/>
                <w:lang w:val="en-GB"/>
              </w:rPr>
              <w:t xml:space="preserve">(2017) </w:t>
            </w:r>
            <w:r w:rsidR="00A3031F" w:rsidRPr="009B39EC">
              <w:rPr>
                <w:rFonts w:ascii="Arial" w:hAnsi="Arial" w:cs="Arial"/>
                <w:sz w:val="20"/>
                <w:szCs w:val="20"/>
                <w:lang w:val="en-GB"/>
              </w:rPr>
              <w:t xml:space="preserve">has made it possible to effectively </w:t>
            </w:r>
            <w:r w:rsidR="00326DA7" w:rsidRPr="009B39EC">
              <w:rPr>
                <w:rFonts w:ascii="Arial" w:hAnsi="Arial" w:cs="Arial"/>
                <w:sz w:val="20"/>
                <w:szCs w:val="20"/>
                <w:lang w:val="en-GB"/>
              </w:rPr>
              <w:t>apply</w:t>
            </w:r>
            <w:r w:rsidR="00A3031F" w:rsidRPr="009B39EC">
              <w:rPr>
                <w:rFonts w:ascii="Arial" w:hAnsi="Arial" w:cs="Arial"/>
                <w:sz w:val="20"/>
                <w:szCs w:val="20"/>
                <w:lang w:val="en-GB"/>
              </w:rPr>
              <w:t xml:space="preserve"> GRB </w:t>
            </w:r>
            <w:r w:rsidR="00326DA7" w:rsidRPr="009B39EC">
              <w:rPr>
                <w:rFonts w:ascii="Arial" w:hAnsi="Arial" w:cs="Arial"/>
                <w:sz w:val="20"/>
                <w:szCs w:val="20"/>
                <w:lang w:val="en-GB"/>
              </w:rPr>
              <w:t>at</w:t>
            </w:r>
            <w:r w:rsidR="00A3031F" w:rsidRPr="009B39EC">
              <w:rPr>
                <w:rFonts w:ascii="Arial" w:hAnsi="Arial" w:cs="Arial"/>
                <w:sz w:val="20"/>
                <w:szCs w:val="20"/>
                <w:lang w:val="en-GB"/>
              </w:rPr>
              <w:t xml:space="preserve"> all stages of the local financial management cycles (</w:t>
            </w:r>
            <w:r w:rsidR="00ED3674" w:rsidRPr="009B39EC">
              <w:rPr>
                <w:rFonts w:ascii="Arial" w:hAnsi="Arial" w:cs="Arial"/>
                <w:sz w:val="20"/>
                <w:szCs w:val="20"/>
                <w:lang w:val="en-GB"/>
              </w:rPr>
              <w:t xml:space="preserve">annual and medium-term budget programming, </w:t>
            </w:r>
            <w:proofErr w:type="gramStart"/>
            <w:r w:rsidR="00ED3674" w:rsidRPr="009B39EC">
              <w:rPr>
                <w:rFonts w:ascii="Arial" w:hAnsi="Arial" w:cs="Arial"/>
                <w:sz w:val="20"/>
                <w:szCs w:val="20"/>
                <w:lang w:val="en-GB"/>
              </w:rPr>
              <w:t>monitoring</w:t>
            </w:r>
            <w:proofErr w:type="gramEnd"/>
            <w:r w:rsidR="00ED3674" w:rsidRPr="009B39EC">
              <w:rPr>
                <w:rFonts w:ascii="Arial" w:hAnsi="Arial" w:cs="Arial"/>
                <w:sz w:val="20"/>
                <w:szCs w:val="20"/>
                <w:lang w:val="en-GB"/>
              </w:rPr>
              <w:t xml:space="preserve"> and reporting, evaluation and auditing</w:t>
            </w:r>
            <w:r w:rsidR="00D826A3" w:rsidRPr="009B39EC">
              <w:rPr>
                <w:rFonts w:ascii="Arial" w:hAnsi="Arial" w:cs="Arial"/>
                <w:sz w:val="20"/>
                <w:szCs w:val="20"/>
                <w:lang w:val="en-GB"/>
              </w:rPr>
              <w:t xml:space="preserve">). </w:t>
            </w:r>
            <w:r w:rsidR="00ED3674" w:rsidRPr="009B39EC">
              <w:rPr>
                <w:rFonts w:ascii="Arial" w:hAnsi="Arial" w:cs="Arial"/>
                <w:sz w:val="20"/>
                <w:szCs w:val="20"/>
                <w:lang w:val="en-GB"/>
              </w:rPr>
              <w:t xml:space="preserve">LSGUs </w:t>
            </w:r>
            <w:r w:rsidR="00742F1A" w:rsidRPr="009B39EC">
              <w:rPr>
                <w:rFonts w:ascii="Arial" w:hAnsi="Arial" w:cs="Arial"/>
                <w:sz w:val="20"/>
                <w:szCs w:val="20"/>
                <w:lang w:val="en-GB"/>
              </w:rPr>
              <w:t xml:space="preserve">are </w:t>
            </w:r>
            <w:r w:rsidR="00326DA7" w:rsidRPr="009B39EC">
              <w:rPr>
                <w:rFonts w:ascii="Arial" w:hAnsi="Arial" w:cs="Arial"/>
                <w:sz w:val="20"/>
                <w:szCs w:val="20"/>
                <w:lang w:val="en-GB"/>
              </w:rPr>
              <w:t>required by law</w:t>
            </w:r>
            <w:r w:rsidR="00742F1A" w:rsidRPr="009B39EC">
              <w:rPr>
                <w:rFonts w:ascii="Arial" w:hAnsi="Arial" w:cs="Arial"/>
                <w:sz w:val="20"/>
                <w:szCs w:val="20"/>
                <w:lang w:val="en-GB"/>
              </w:rPr>
              <w:t xml:space="preserve"> to address gender inequality </w:t>
            </w:r>
            <w:r w:rsidR="00326DA7" w:rsidRPr="009B39EC">
              <w:rPr>
                <w:rFonts w:ascii="Arial" w:hAnsi="Arial" w:cs="Arial"/>
                <w:sz w:val="20"/>
                <w:szCs w:val="20"/>
                <w:lang w:val="en-GB"/>
              </w:rPr>
              <w:t xml:space="preserve">issues </w:t>
            </w:r>
            <w:r w:rsidR="002752F6" w:rsidRPr="009B39EC">
              <w:rPr>
                <w:rFonts w:ascii="Arial" w:hAnsi="Arial" w:cs="Arial"/>
                <w:sz w:val="20"/>
                <w:szCs w:val="20"/>
                <w:lang w:val="en-GB"/>
              </w:rPr>
              <w:t>and demonstrate</w:t>
            </w:r>
            <w:r w:rsidR="00742F1A" w:rsidRPr="009B39EC">
              <w:rPr>
                <w:rFonts w:ascii="Arial" w:hAnsi="Arial" w:cs="Arial"/>
                <w:sz w:val="20"/>
                <w:szCs w:val="20"/>
                <w:lang w:val="en-GB"/>
              </w:rPr>
              <w:t xml:space="preserve"> full respect for gender equality in at least one of the programme policy objectives</w:t>
            </w:r>
            <w:r w:rsidR="00D826A3" w:rsidRPr="009B39EC">
              <w:rPr>
                <w:rFonts w:ascii="Arial" w:hAnsi="Arial" w:cs="Arial"/>
                <w:sz w:val="20"/>
                <w:szCs w:val="20"/>
                <w:lang w:val="en-GB"/>
              </w:rPr>
              <w:t xml:space="preserve">, </w:t>
            </w:r>
            <w:r w:rsidR="00742F1A" w:rsidRPr="009B39EC">
              <w:rPr>
                <w:rFonts w:ascii="Arial" w:hAnsi="Arial" w:cs="Arial"/>
                <w:sz w:val="20"/>
                <w:szCs w:val="20"/>
                <w:lang w:val="en-GB"/>
              </w:rPr>
              <w:t xml:space="preserve">by clearly identifying </w:t>
            </w:r>
            <w:r w:rsidR="00326DA7" w:rsidRPr="009B39EC">
              <w:rPr>
                <w:rFonts w:ascii="Arial" w:hAnsi="Arial" w:cs="Arial"/>
                <w:sz w:val="20"/>
                <w:szCs w:val="20"/>
                <w:lang w:val="en-GB"/>
              </w:rPr>
              <w:t xml:space="preserve">the related </w:t>
            </w:r>
            <w:r w:rsidR="00742F1A" w:rsidRPr="009B39EC">
              <w:rPr>
                <w:rFonts w:ascii="Arial" w:hAnsi="Arial" w:cs="Arial"/>
                <w:sz w:val="20"/>
                <w:szCs w:val="20"/>
                <w:lang w:val="en-GB"/>
              </w:rPr>
              <w:t>gender indicators and outcomes</w:t>
            </w:r>
            <w:r w:rsidR="00D826A3" w:rsidRPr="009B39EC">
              <w:rPr>
                <w:rFonts w:ascii="Arial" w:hAnsi="Arial" w:cs="Arial"/>
                <w:sz w:val="20"/>
                <w:szCs w:val="20"/>
                <w:lang w:val="en-GB"/>
              </w:rPr>
              <w:t xml:space="preserve">. </w:t>
            </w:r>
            <w:r w:rsidRPr="009B39EC">
              <w:rPr>
                <w:rFonts w:ascii="Arial" w:hAnsi="Arial" w:cs="Arial"/>
                <w:sz w:val="20"/>
                <w:szCs w:val="20"/>
                <w:lang w:val="en-GB"/>
              </w:rPr>
              <w:t xml:space="preserve">In their reporting, LGSUs must </w:t>
            </w:r>
            <w:r w:rsidR="00326DA7" w:rsidRPr="009B39EC">
              <w:rPr>
                <w:rFonts w:ascii="Arial" w:hAnsi="Arial" w:cs="Arial"/>
                <w:sz w:val="20"/>
                <w:szCs w:val="20"/>
                <w:lang w:val="en-GB"/>
              </w:rPr>
              <w:t xml:space="preserve">also </w:t>
            </w:r>
            <w:r w:rsidRPr="009B39EC">
              <w:rPr>
                <w:rFonts w:ascii="Arial" w:hAnsi="Arial" w:cs="Arial"/>
                <w:sz w:val="20"/>
                <w:szCs w:val="20"/>
                <w:lang w:val="en-GB"/>
              </w:rPr>
              <w:t>mandatorily in</w:t>
            </w:r>
            <w:r w:rsidR="00C575AB" w:rsidRPr="009B39EC">
              <w:rPr>
                <w:rFonts w:ascii="Arial" w:hAnsi="Arial" w:cs="Arial"/>
                <w:sz w:val="20"/>
                <w:szCs w:val="20"/>
                <w:lang w:val="en-GB"/>
              </w:rPr>
              <w:t>dicate what percentage of their overall expenditures goes towards supporting policies for the promotion of gender equality</w:t>
            </w:r>
            <w:r w:rsidR="00D826A3" w:rsidRPr="009B39EC">
              <w:rPr>
                <w:rFonts w:ascii="Arial" w:hAnsi="Arial" w:cs="Arial"/>
                <w:sz w:val="20"/>
                <w:szCs w:val="20"/>
                <w:lang w:val="en-GB"/>
              </w:rPr>
              <w:t>.</w:t>
            </w:r>
          </w:p>
          <w:p w14:paraId="3660A1BA" w14:textId="77777777" w:rsidR="00F7030F" w:rsidRPr="009B39EC" w:rsidRDefault="00F7030F" w:rsidP="004C4194">
            <w:pPr>
              <w:jc w:val="both"/>
              <w:rPr>
                <w:rFonts w:ascii="Arial" w:hAnsi="Arial" w:cs="Arial"/>
                <w:sz w:val="20"/>
                <w:szCs w:val="20"/>
                <w:lang w:val="en-GB"/>
              </w:rPr>
            </w:pPr>
          </w:p>
          <w:p w14:paraId="0F58FD5E" w14:textId="720E4FCE" w:rsidR="004C4194" w:rsidRPr="009B39EC" w:rsidRDefault="00C32E59" w:rsidP="00812908">
            <w:pPr>
              <w:autoSpaceDE w:val="0"/>
              <w:autoSpaceDN w:val="0"/>
              <w:adjustRightInd w:val="0"/>
              <w:jc w:val="both"/>
              <w:rPr>
                <w:rFonts w:ascii="Arial" w:hAnsi="Arial" w:cs="Arial"/>
                <w:bCs/>
                <w:color w:val="000000" w:themeColor="text1"/>
                <w:sz w:val="20"/>
                <w:szCs w:val="20"/>
                <w:lang w:val="en-GB"/>
              </w:rPr>
            </w:pPr>
            <w:r w:rsidRPr="009B39EC">
              <w:rPr>
                <w:rFonts w:ascii="Arial" w:hAnsi="Arial" w:cs="Arial"/>
                <w:sz w:val="20"/>
                <w:szCs w:val="20"/>
                <w:lang w:val="en-GB"/>
              </w:rPr>
              <w:t>In its 2020 budget,</w:t>
            </w:r>
            <w:r w:rsidRPr="009B39EC">
              <w:rPr>
                <w:rFonts w:ascii="Arial" w:hAnsi="Arial" w:cs="Arial"/>
                <w:b/>
                <w:bCs/>
                <w:sz w:val="20"/>
                <w:szCs w:val="20"/>
                <w:lang w:val="en-GB"/>
              </w:rPr>
              <w:t xml:space="preserve"> t</w:t>
            </w:r>
            <w:r w:rsidR="000903D1" w:rsidRPr="009B39EC">
              <w:rPr>
                <w:rFonts w:ascii="Arial" w:hAnsi="Arial" w:cs="Arial"/>
                <w:b/>
                <w:bCs/>
                <w:sz w:val="20"/>
                <w:szCs w:val="20"/>
                <w:lang w:val="en-GB"/>
              </w:rPr>
              <w:t xml:space="preserve">he Municipality of </w:t>
            </w:r>
            <w:r w:rsidR="00F7030F" w:rsidRPr="009B39EC">
              <w:rPr>
                <w:rFonts w:ascii="Arial" w:hAnsi="Arial" w:cs="Arial"/>
                <w:b/>
                <w:bCs/>
                <w:sz w:val="20"/>
                <w:szCs w:val="20"/>
                <w:lang w:val="en-GB"/>
              </w:rPr>
              <w:t>Elbasan</w:t>
            </w:r>
            <w:r w:rsidR="00F7030F" w:rsidRPr="009B39EC">
              <w:rPr>
                <w:rFonts w:ascii="Arial" w:hAnsi="Arial" w:cs="Arial"/>
                <w:sz w:val="20"/>
                <w:szCs w:val="20"/>
                <w:lang w:val="en-GB"/>
              </w:rPr>
              <w:t xml:space="preserve"> </w:t>
            </w:r>
            <w:r w:rsidRPr="009B39EC">
              <w:rPr>
                <w:rFonts w:ascii="Arial" w:hAnsi="Arial" w:cs="Arial"/>
                <w:sz w:val="20"/>
                <w:szCs w:val="20"/>
                <w:lang w:val="en-GB"/>
              </w:rPr>
              <w:t xml:space="preserve">allocated a fund </w:t>
            </w:r>
            <w:r w:rsidR="00C575AB" w:rsidRPr="009B39EC">
              <w:rPr>
                <w:rFonts w:ascii="Arial" w:hAnsi="Arial" w:cs="Arial"/>
                <w:sz w:val="20"/>
                <w:szCs w:val="20"/>
                <w:lang w:val="en-GB"/>
              </w:rPr>
              <w:t>amounting to</w:t>
            </w:r>
            <w:r w:rsidR="00F7030F" w:rsidRPr="009B39EC">
              <w:rPr>
                <w:rFonts w:ascii="Arial" w:hAnsi="Arial" w:cs="Arial"/>
                <w:sz w:val="20"/>
                <w:szCs w:val="20"/>
                <w:lang w:val="en-GB"/>
              </w:rPr>
              <w:t xml:space="preserve"> 8,700,000 </w:t>
            </w:r>
            <w:r w:rsidR="002752F6" w:rsidRPr="009B39EC">
              <w:rPr>
                <w:rFonts w:ascii="Arial" w:hAnsi="Arial" w:cs="Arial"/>
                <w:sz w:val="20"/>
                <w:szCs w:val="20"/>
                <w:lang w:val="en-GB"/>
              </w:rPr>
              <w:t>ALL</w:t>
            </w:r>
            <w:r w:rsidR="00F7030F" w:rsidRPr="009B39EC">
              <w:rPr>
                <w:rFonts w:ascii="Arial" w:hAnsi="Arial" w:cs="Arial"/>
                <w:sz w:val="20"/>
                <w:szCs w:val="20"/>
                <w:lang w:val="en-GB"/>
              </w:rPr>
              <w:t xml:space="preserve"> (72,500 EUR) </w:t>
            </w:r>
            <w:r w:rsidRPr="009B39EC">
              <w:rPr>
                <w:rFonts w:ascii="Arial" w:hAnsi="Arial" w:cs="Arial"/>
                <w:sz w:val="20"/>
                <w:szCs w:val="20"/>
                <w:lang w:val="en-GB"/>
              </w:rPr>
              <w:t>in support of abused women or women with social-</w:t>
            </w:r>
            <w:r w:rsidR="00445CB5" w:rsidRPr="009B39EC">
              <w:rPr>
                <w:rFonts w:ascii="Arial" w:hAnsi="Arial" w:cs="Arial"/>
                <w:sz w:val="20"/>
                <w:szCs w:val="20"/>
                <w:lang w:val="en-GB"/>
              </w:rPr>
              <w:t>economic</w:t>
            </w:r>
            <w:r w:rsidRPr="009B39EC">
              <w:rPr>
                <w:rFonts w:ascii="Arial" w:hAnsi="Arial" w:cs="Arial"/>
                <w:sz w:val="20"/>
                <w:szCs w:val="20"/>
                <w:lang w:val="en-GB"/>
              </w:rPr>
              <w:t xml:space="preserve"> problems, which demonstrates greater sensitivity on the part of the </w:t>
            </w:r>
            <w:r w:rsidR="00C575AB" w:rsidRPr="009B39EC">
              <w:rPr>
                <w:rFonts w:ascii="Arial" w:hAnsi="Arial" w:cs="Arial"/>
                <w:sz w:val="20"/>
                <w:szCs w:val="20"/>
                <w:lang w:val="en-GB"/>
              </w:rPr>
              <w:t>local authority</w:t>
            </w:r>
            <w:r w:rsidRPr="009B39EC">
              <w:rPr>
                <w:rFonts w:ascii="Arial" w:hAnsi="Arial" w:cs="Arial"/>
                <w:sz w:val="20"/>
                <w:szCs w:val="20"/>
                <w:lang w:val="en-GB"/>
              </w:rPr>
              <w:t xml:space="preserve"> and the members of the municipal council towards this social group</w:t>
            </w:r>
            <w:r w:rsidR="00F7030F" w:rsidRPr="009B39EC">
              <w:rPr>
                <w:rFonts w:ascii="Arial" w:hAnsi="Arial" w:cs="Arial"/>
                <w:sz w:val="20"/>
                <w:szCs w:val="20"/>
                <w:lang w:val="en-GB"/>
              </w:rPr>
              <w:t xml:space="preserve">. </w:t>
            </w:r>
            <w:r w:rsidRPr="009B39EC">
              <w:rPr>
                <w:rFonts w:ascii="Arial" w:hAnsi="Arial" w:cs="Arial"/>
                <w:sz w:val="20"/>
                <w:szCs w:val="20"/>
                <w:lang w:val="en-GB"/>
              </w:rPr>
              <w:t>This fund is further subdivided into</w:t>
            </w:r>
            <w:r w:rsidR="00F7030F" w:rsidRPr="009B39EC">
              <w:rPr>
                <w:rFonts w:ascii="Arial" w:hAnsi="Arial" w:cs="Arial"/>
                <w:sz w:val="20"/>
                <w:szCs w:val="20"/>
                <w:lang w:val="en-GB"/>
              </w:rPr>
              <w:t>:</w:t>
            </w:r>
            <w:r w:rsidR="009906A0" w:rsidRPr="009B39EC">
              <w:rPr>
                <w:rFonts w:ascii="Arial" w:hAnsi="Arial" w:cs="Arial"/>
                <w:sz w:val="20"/>
                <w:szCs w:val="20"/>
                <w:lang w:val="en-GB"/>
              </w:rPr>
              <w:t xml:space="preserve"> </w:t>
            </w:r>
            <w:r w:rsidRPr="009B39EC">
              <w:rPr>
                <w:rFonts w:ascii="Arial" w:hAnsi="Arial" w:cs="Arial"/>
                <w:sz w:val="20"/>
                <w:szCs w:val="20"/>
                <w:lang w:val="en-GB"/>
              </w:rPr>
              <w:t xml:space="preserve">the </w:t>
            </w:r>
            <w:r w:rsidR="00850A6E" w:rsidRPr="009B39EC">
              <w:rPr>
                <w:rFonts w:ascii="Arial" w:hAnsi="Arial" w:cs="Arial"/>
                <w:sz w:val="20"/>
                <w:szCs w:val="20"/>
                <w:lang w:val="en-GB"/>
              </w:rPr>
              <w:t>20</w:t>
            </w:r>
            <w:r w:rsidR="009906A0" w:rsidRPr="009B39EC">
              <w:rPr>
                <w:rFonts w:ascii="Arial" w:hAnsi="Arial" w:cs="Arial"/>
                <w:sz w:val="20"/>
                <w:szCs w:val="20"/>
                <w:lang w:val="en-GB"/>
              </w:rPr>
              <w:t>20</w:t>
            </w:r>
            <w:r w:rsidRPr="009B39EC">
              <w:rPr>
                <w:rFonts w:ascii="Arial" w:hAnsi="Arial" w:cs="Arial"/>
                <w:sz w:val="20"/>
                <w:szCs w:val="20"/>
                <w:lang w:val="en-GB"/>
              </w:rPr>
              <w:t xml:space="preserve"> social fund, with a value of </w:t>
            </w:r>
            <w:r w:rsidR="009906A0" w:rsidRPr="009B39EC">
              <w:rPr>
                <w:rFonts w:ascii="Arial" w:hAnsi="Arial" w:cs="Arial"/>
                <w:sz w:val="20"/>
                <w:szCs w:val="20"/>
                <w:lang w:val="en-GB"/>
              </w:rPr>
              <w:t xml:space="preserve">2,000,000 </w:t>
            </w:r>
            <w:r w:rsidR="002752F6" w:rsidRPr="009B39EC">
              <w:rPr>
                <w:rFonts w:ascii="Arial" w:hAnsi="Arial" w:cs="Arial"/>
                <w:sz w:val="20"/>
                <w:szCs w:val="20"/>
                <w:lang w:val="en-GB"/>
              </w:rPr>
              <w:t>ALL</w:t>
            </w:r>
            <w:r w:rsidR="009906A0" w:rsidRPr="009B39EC">
              <w:rPr>
                <w:rFonts w:ascii="Arial" w:hAnsi="Arial" w:cs="Arial"/>
                <w:sz w:val="20"/>
                <w:szCs w:val="20"/>
                <w:lang w:val="en-GB"/>
              </w:rPr>
              <w:t xml:space="preserve"> (16,667 EUR); </w:t>
            </w:r>
            <w:r w:rsidRPr="009B39EC">
              <w:rPr>
                <w:rFonts w:ascii="Arial" w:hAnsi="Arial" w:cs="Arial"/>
                <w:sz w:val="20"/>
                <w:szCs w:val="20"/>
                <w:lang w:val="en-GB"/>
              </w:rPr>
              <w:t xml:space="preserve">the joint participation projects fund, with a value of </w:t>
            </w:r>
            <w:r w:rsidR="009906A0" w:rsidRPr="009B39EC">
              <w:rPr>
                <w:rFonts w:ascii="Arial" w:hAnsi="Arial" w:cs="Arial"/>
                <w:sz w:val="20"/>
                <w:szCs w:val="20"/>
                <w:lang w:val="en-GB"/>
              </w:rPr>
              <w:t xml:space="preserve">3,500,000 </w:t>
            </w:r>
            <w:r w:rsidR="002752F6" w:rsidRPr="009B39EC">
              <w:rPr>
                <w:rFonts w:ascii="Arial" w:hAnsi="Arial" w:cs="Arial"/>
                <w:sz w:val="20"/>
                <w:szCs w:val="20"/>
                <w:lang w:val="en-GB"/>
              </w:rPr>
              <w:t>ALL</w:t>
            </w:r>
            <w:r w:rsidR="009906A0" w:rsidRPr="009B39EC">
              <w:rPr>
                <w:rFonts w:ascii="Arial" w:hAnsi="Arial" w:cs="Arial"/>
                <w:sz w:val="20"/>
                <w:szCs w:val="20"/>
                <w:lang w:val="en-GB"/>
              </w:rPr>
              <w:t xml:space="preserve"> (29,167 EUR); </w:t>
            </w:r>
            <w:r w:rsidRPr="009B39EC">
              <w:rPr>
                <w:rFonts w:ascii="Arial" w:hAnsi="Arial" w:cs="Arial"/>
                <w:sz w:val="20"/>
                <w:szCs w:val="20"/>
                <w:lang w:val="en-GB"/>
              </w:rPr>
              <w:t>the gender equality fund, earmarked for addressing gender equality issues</w:t>
            </w:r>
            <w:r w:rsidR="005C2CB3" w:rsidRPr="009B39EC">
              <w:rPr>
                <w:rFonts w:ascii="Arial" w:hAnsi="Arial" w:cs="Arial"/>
                <w:sz w:val="20"/>
                <w:szCs w:val="20"/>
                <w:lang w:val="en-GB"/>
              </w:rPr>
              <w:t>, with a value of</w:t>
            </w:r>
            <w:r w:rsidR="009906A0" w:rsidRPr="009B39EC">
              <w:rPr>
                <w:rFonts w:ascii="Arial" w:hAnsi="Arial" w:cs="Arial"/>
                <w:sz w:val="20"/>
                <w:szCs w:val="20"/>
                <w:lang w:val="en-GB"/>
              </w:rPr>
              <w:t xml:space="preserve"> 500,000 </w:t>
            </w:r>
            <w:r w:rsidR="002752F6" w:rsidRPr="009B39EC">
              <w:rPr>
                <w:rFonts w:ascii="Arial" w:hAnsi="Arial" w:cs="Arial"/>
                <w:sz w:val="20"/>
                <w:szCs w:val="20"/>
                <w:lang w:val="en-GB"/>
              </w:rPr>
              <w:t>ALL</w:t>
            </w:r>
            <w:r w:rsidR="009906A0" w:rsidRPr="009B39EC">
              <w:rPr>
                <w:rFonts w:ascii="Arial" w:hAnsi="Arial" w:cs="Arial"/>
                <w:sz w:val="20"/>
                <w:szCs w:val="20"/>
                <w:lang w:val="en-GB"/>
              </w:rPr>
              <w:t xml:space="preserve"> (4,167 EUR), </w:t>
            </w:r>
            <w:r w:rsidRPr="009B39EC">
              <w:rPr>
                <w:rFonts w:ascii="Arial" w:hAnsi="Arial" w:cs="Arial"/>
                <w:sz w:val="20"/>
                <w:szCs w:val="20"/>
                <w:lang w:val="en-GB"/>
              </w:rPr>
              <w:t>and the social assistance fund, drawn from municipality revenue, with a value of</w:t>
            </w:r>
            <w:r w:rsidR="009906A0" w:rsidRPr="009B39EC">
              <w:rPr>
                <w:rFonts w:ascii="Arial" w:hAnsi="Arial" w:cs="Arial"/>
                <w:sz w:val="20"/>
                <w:szCs w:val="20"/>
                <w:lang w:val="en-GB"/>
              </w:rPr>
              <w:t xml:space="preserve"> 3,200,000 </w:t>
            </w:r>
            <w:r w:rsidR="002752F6" w:rsidRPr="009B39EC">
              <w:rPr>
                <w:rFonts w:ascii="Arial" w:hAnsi="Arial" w:cs="Arial"/>
                <w:sz w:val="20"/>
                <w:szCs w:val="20"/>
                <w:lang w:val="en-GB"/>
              </w:rPr>
              <w:t>ALL</w:t>
            </w:r>
            <w:r w:rsidR="009906A0" w:rsidRPr="009B39EC">
              <w:rPr>
                <w:rFonts w:ascii="Arial" w:hAnsi="Arial" w:cs="Arial"/>
                <w:sz w:val="20"/>
                <w:szCs w:val="20"/>
                <w:lang w:val="en-GB"/>
              </w:rPr>
              <w:t xml:space="preserve"> (26,667 EUR), </w:t>
            </w:r>
            <w:r w:rsidRPr="009B39EC">
              <w:rPr>
                <w:rFonts w:ascii="Arial" w:hAnsi="Arial" w:cs="Arial"/>
                <w:sz w:val="20"/>
                <w:szCs w:val="20"/>
                <w:lang w:val="en-GB"/>
              </w:rPr>
              <w:t xml:space="preserve">of which social assistance </w:t>
            </w:r>
            <w:r w:rsidR="005C2CB3" w:rsidRPr="009B39EC">
              <w:rPr>
                <w:rFonts w:ascii="Arial" w:hAnsi="Arial" w:cs="Arial"/>
                <w:sz w:val="20"/>
                <w:szCs w:val="20"/>
                <w:lang w:val="en-GB"/>
              </w:rPr>
              <w:t xml:space="preserve">payments </w:t>
            </w:r>
            <w:r w:rsidRPr="009B39EC">
              <w:rPr>
                <w:rFonts w:ascii="Arial" w:hAnsi="Arial" w:cs="Arial"/>
                <w:sz w:val="20"/>
                <w:szCs w:val="20"/>
                <w:lang w:val="en-GB"/>
              </w:rPr>
              <w:t>for abused women who have been granted protection orders or</w:t>
            </w:r>
            <w:r w:rsidR="00823895" w:rsidRPr="009B39EC">
              <w:rPr>
                <w:rFonts w:ascii="Arial" w:hAnsi="Arial" w:cs="Arial"/>
                <w:sz w:val="20"/>
                <w:szCs w:val="20"/>
                <w:lang w:val="en-GB"/>
              </w:rPr>
              <w:t xml:space="preserve"> emergency protection </w:t>
            </w:r>
            <w:r w:rsidRPr="009B39EC">
              <w:rPr>
                <w:rFonts w:ascii="Arial" w:hAnsi="Arial" w:cs="Arial"/>
                <w:sz w:val="20"/>
                <w:szCs w:val="20"/>
                <w:lang w:val="en-GB"/>
              </w:rPr>
              <w:t xml:space="preserve">orders </w:t>
            </w:r>
            <w:r w:rsidR="005C2CB3" w:rsidRPr="009B39EC">
              <w:rPr>
                <w:rFonts w:ascii="Arial" w:hAnsi="Arial" w:cs="Arial"/>
                <w:sz w:val="20"/>
                <w:szCs w:val="20"/>
                <w:lang w:val="en-GB"/>
              </w:rPr>
              <w:t xml:space="preserve">amount to </w:t>
            </w:r>
            <w:r w:rsidR="009906A0" w:rsidRPr="009B39EC">
              <w:rPr>
                <w:rFonts w:ascii="Arial" w:hAnsi="Arial" w:cs="Arial"/>
                <w:sz w:val="20"/>
                <w:szCs w:val="20"/>
                <w:lang w:val="en-GB"/>
              </w:rPr>
              <w:t xml:space="preserve">2,000,000 </w:t>
            </w:r>
            <w:r w:rsidR="002752F6" w:rsidRPr="009B39EC">
              <w:rPr>
                <w:rFonts w:ascii="Arial" w:hAnsi="Arial" w:cs="Arial"/>
                <w:sz w:val="20"/>
                <w:szCs w:val="20"/>
                <w:lang w:val="en-GB"/>
              </w:rPr>
              <w:t>ALL</w:t>
            </w:r>
            <w:r w:rsidR="009906A0" w:rsidRPr="009B39EC">
              <w:rPr>
                <w:rFonts w:ascii="Arial" w:hAnsi="Arial" w:cs="Arial"/>
                <w:sz w:val="20"/>
                <w:szCs w:val="20"/>
                <w:lang w:val="en-GB"/>
              </w:rPr>
              <w:t xml:space="preserve"> (16,667 EUR).</w:t>
            </w:r>
            <w:r w:rsidR="00D826A3" w:rsidRPr="009B39EC">
              <w:rPr>
                <w:rFonts w:ascii="Arial" w:hAnsi="Arial" w:cs="Arial"/>
                <w:sz w:val="20"/>
                <w:szCs w:val="20"/>
                <w:lang w:val="en-GB"/>
              </w:rPr>
              <w:t xml:space="preserve"> </w:t>
            </w:r>
            <w:r w:rsidR="00F22A94" w:rsidRPr="009B39EC">
              <w:rPr>
                <w:rFonts w:ascii="Arial" w:hAnsi="Arial" w:cs="Arial"/>
                <w:sz w:val="20"/>
                <w:szCs w:val="20"/>
                <w:lang w:val="en-GB"/>
              </w:rPr>
              <w:t xml:space="preserve">In the period September 2018-September 2020, as part of a joint project with the UNDP, the Elbasan municipality co-funded, with a contribution of 25,000USD, NPO activities </w:t>
            </w:r>
            <w:r w:rsidR="00C575AB" w:rsidRPr="009B39EC">
              <w:rPr>
                <w:rFonts w:ascii="Arial" w:hAnsi="Arial" w:cs="Arial"/>
                <w:sz w:val="20"/>
                <w:szCs w:val="20"/>
                <w:lang w:val="en-GB"/>
              </w:rPr>
              <w:t xml:space="preserve">both </w:t>
            </w:r>
            <w:r w:rsidR="00F22A94" w:rsidRPr="009B39EC">
              <w:rPr>
                <w:rFonts w:ascii="Arial" w:hAnsi="Arial" w:cs="Arial"/>
                <w:sz w:val="20"/>
                <w:szCs w:val="20"/>
                <w:lang w:val="en-GB"/>
              </w:rPr>
              <w:t xml:space="preserve">in Elbasan proper and </w:t>
            </w:r>
            <w:r w:rsidR="00C575AB" w:rsidRPr="009B39EC">
              <w:rPr>
                <w:rFonts w:ascii="Arial" w:hAnsi="Arial" w:cs="Arial"/>
                <w:sz w:val="20"/>
                <w:szCs w:val="20"/>
                <w:lang w:val="en-GB"/>
              </w:rPr>
              <w:t xml:space="preserve">in the </w:t>
            </w:r>
            <w:r w:rsidR="00F22A94" w:rsidRPr="009B39EC">
              <w:rPr>
                <w:rFonts w:ascii="Arial" w:hAnsi="Arial" w:cs="Arial"/>
                <w:sz w:val="20"/>
                <w:szCs w:val="20"/>
                <w:lang w:val="en-GB"/>
              </w:rPr>
              <w:t xml:space="preserve">surrounding areas, which focused, among others on domestic violence and </w:t>
            </w:r>
            <w:r w:rsidR="00445CB5" w:rsidRPr="009B39EC">
              <w:rPr>
                <w:rFonts w:ascii="Arial" w:hAnsi="Arial" w:cs="Arial"/>
                <w:sz w:val="20"/>
                <w:szCs w:val="20"/>
                <w:lang w:val="en-GB"/>
              </w:rPr>
              <w:t>gender-based</w:t>
            </w:r>
            <w:r w:rsidR="00F22A94" w:rsidRPr="009B39EC">
              <w:rPr>
                <w:rFonts w:ascii="Arial" w:hAnsi="Arial" w:cs="Arial"/>
                <w:sz w:val="20"/>
                <w:szCs w:val="20"/>
                <w:lang w:val="en-GB"/>
              </w:rPr>
              <w:t xml:space="preserve"> violence. This </w:t>
            </w:r>
            <w:r w:rsidR="00C575AB" w:rsidRPr="009B39EC">
              <w:rPr>
                <w:rFonts w:ascii="Arial" w:hAnsi="Arial" w:cs="Arial"/>
                <w:sz w:val="20"/>
                <w:szCs w:val="20"/>
                <w:lang w:val="en-GB"/>
              </w:rPr>
              <w:t>project was part</w:t>
            </w:r>
            <w:r w:rsidR="005C2CB3" w:rsidRPr="009B39EC">
              <w:rPr>
                <w:rFonts w:ascii="Arial" w:hAnsi="Arial" w:cs="Arial"/>
                <w:sz w:val="20"/>
                <w:szCs w:val="20"/>
                <w:lang w:val="en-GB"/>
              </w:rPr>
              <w:t xml:space="preserve"> of the Regional Programme on Local Democracy in the Western Balkans (ReLOaD)</w:t>
            </w:r>
            <w:r w:rsidR="00F22A94" w:rsidRPr="009B39EC">
              <w:rPr>
                <w:rFonts w:ascii="Arial" w:hAnsi="Arial" w:cs="Arial"/>
                <w:sz w:val="20"/>
                <w:szCs w:val="20"/>
                <w:lang w:val="en-GB"/>
              </w:rPr>
              <w:t>, funded by the European Union and implemented by the United Nations Development Programme (UNDP) in six countries of the Western Balkans</w:t>
            </w:r>
            <w:r w:rsidR="00812908" w:rsidRPr="009B39EC">
              <w:rPr>
                <w:rFonts w:ascii="Arial" w:hAnsi="Arial" w:cs="Arial"/>
                <w:bCs/>
                <w:color w:val="000000" w:themeColor="text1"/>
                <w:sz w:val="20"/>
                <w:szCs w:val="20"/>
                <w:lang w:val="en-GB"/>
              </w:rPr>
              <w:t>.</w:t>
            </w:r>
            <w:r w:rsidR="009F35CE" w:rsidRPr="009B39EC">
              <w:rPr>
                <w:rFonts w:ascii="Arial" w:hAnsi="Arial" w:cs="Arial"/>
                <w:bCs/>
                <w:color w:val="000000" w:themeColor="text1"/>
                <w:sz w:val="20"/>
                <w:szCs w:val="20"/>
                <w:lang w:val="en-GB"/>
              </w:rPr>
              <w:t xml:space="preserve"> </w:t>
            </w:r>
            <w:r w:rsidR="00F22A94" w:rsidRPr="009B39EC">
              <w:rPr>
                <w:rFonts w:ascii="Arial" w:hAnsi="Arial" w:cs="Arial"/>
                <w:bCs/>
                <w:color w:val="000000" w:themeColor="text1"/>
                <w:sz w:val="20"/>
                <w:szCs w:val="20"/>
                <w:lang w:val="en-GB"/>
              </w:rPr>
              <w:t xml:space="preserve">In 2020, the municipality </w:t>
            </w:r>
            <w:r w:rsidR="00C575AB" w:rsidRPr="009B39EC">
              <w:rPr>
                <w:rFonts w:ascii="Arial" w:hAnsi="Arial" w:cs="Arial"/>
                <w:bCs/>
                <w:color w:val="000000" w:themeColor="text1"/>
                <w:sz w:val="20"/>
                <w:szCs w:val="20"/>
                <w:lang w:val="en-GB"/>
              </w:rPr>
              <w:t xml:space="preserve">of Elbasan </w:t>
            </w:r>
            <w:r w:rsidR="00F22A94" w:rsidRPr="009B39EC">
              <w:rPr>
                <w:rFonts w:ascii="Arial" w:hAnsi="Arial" w:cs="Arial"/>
                <w:bCs/>
                <w:color w:val="000000" w:themeColor="text1"/>
                <w:sz w:val="20"/>
                <w:szCs w:val="20"/>
                <w:lang w:val="en-GB"/>
              </w:rPr>
              <w:t xml:space="preserve">and the Ministry of Infrastructure and Energy supported 117 families with social </w:t>
            </w:r>
            <w:r w:rsidR="00C575AB" w:rsidRPr="009B39EC">
              <w:rPr>
                <w:rFonts w:ascii="Arial" w:hAnsi="Arial" w:cs="Arial"/>
                <w:bCs/>
                <w:color w:val="000000" w:themeColor="text1"/>
                <w:sz w:val="20"/>
                <w:szCs w:val="20"/>
                <w:lang w:val="en-GB"/>
              </w:rPr>
              <w:t xml:space="preserve">assistance </w:t>
            </w:r>
            <w:r w:rsidR="00F22A94" w:rsidRPr="009B39EC">
              <w:rPr>
                <w:rFonts w:ascii="Arial" w:hAnsi="Arial" w:cs="Arial"/>
                <w:bCs/>
                <w:color w:val="000000" w:themeColor="text1"/>
                <w:sz w:val="20"/>
                <w:szCs w:val="20"/>
                <w:lang w:val="en-GB"/>
              </w:rPr>
              <w:t>payments</w:t>
            </w:r>
            <w:r w:rsidR="00F06D76" w:rsidRPr="009B39EC">
              <w:rPr>
                <w:rFonts w:ascii="Arial" w:hAnsi="Arial" w:cs="Arial"/>
                <w:bCs/>
                <w:color w:val="000000" w:themeColor="text1"/>
                <w:sz w:val="20"/>
                <w:szCs w:val="20"/>
                <w:lang w:val="en-GB"/>
              </w:rPr>
              <w:t xml:space="preserve">. The total value of </w:t>
            </w:r>
            <w:r w:rsidR="00F06D76" w:rsidRPr="009B39EC">
              <w:rPr>
                <w:rFonts w:ascii="Arial" w:hAnsi="Arial" w:cs="Arial"/>
                <w:bCs/>
                <w:color w:val="000000" w:themeColor="text1"/>
                <w:sz w:val="20"/>
                <w:szCs w:val="20"/>
                <w:lang w:val="en-GB"/>
              </w:rPr>
              <w:lastRenderedPageBreak/>
              <w:t>payments was</w:t>
            </w:r>
            <w:r w:rsidR="009F35CE" w:rsidRPr="009B39EC">
              <w:rPr>
                <w:rFonts w:ascii="Arial" w:hAnsi="Arial" w:cs="Arial"/>
                <w:bCs/>
                <w:color w:val="000000" w:themeColor="text1"/>
                <w:sz w:val="20"/>
                <w:szCs w:val="20"/>
                <w:lang w:val="en-GB"/>
              </w:rPr>
              <w:t xml:space="preserve"> 14,794,394 </w:t>
            </w:r>
            <w:r w:rsidR="002752F6" w:rsidRPr="009B39EC">
              <w:rPr>
                <w:rFonts w:ascii="Arial" w:hAnsi="Arial" w:cs="Arial"/>
                <w:bCs/>
                <w:color w:val="000000" w:themeColor="text1"/>
                <w:sz w:val="20"/>
                <w:szCs w:val="20"/>
                <w:lang w:val="en-GB"/>
              </w:rPr>
              <w:t>ALL</w:t>
            </w:r>
            <w:r w:rsidR="009F35CE" w:rsidRPr="009B39EC">
              <w:rPr>
                <w:rFonts w:ascii="Arial" w:hAnsi="Arial" w:cs="Arial"/>
                <w:bCs/>
                <w:color w:val="000000" w:themeColor="text1"/>
                <w:sz w:val="20"/>
                <w:szCs w:val="20"/>
                <w:lang w:val="en-GB"/>
              </w:rPr>
              <w:t xml:space="preserve"> (123,287 EUR), </w:t>
            </w:r>
            <w:r w:rsidR="00F06D76" w:rsidRPr="009B39EC">
              <w:rPr>
                <w:rFonts w:ascii="Arial" w:hAnsi="Arial" w:cs="Arial"/>
                <w:bCs/>
                <w:color w:val="000000" w:themeColor="text1"/>
                <w:sz w:val="20"/>
                <w:szCs w:val="20"/>
                <w:lang w:val="en-GB"/>
              </w:rPr>
              <w:t>of which the municipality contributed the sum of</w:t>
            </w:r>
            <w:r w:rsidR="009F35CE" w:rsidRPr="009B39EC">
              <w:rPr>
                <w:rFonts w:ascii="Arial" w:hAnsi="Arial" w:cs="Arial"/>
                <w:bCs/>
                <w:color w:val="000000" w:themeColor="text1"/>
                <w:sz w:val="20"/>
                <w:szCs w:val="20"/>
                <w:lang w:val="en-GB"/>
              </w:rPr>
              <w:t xml:space="preserve"> 4,173,553 </w:t>
            </w:r>
            <w:r w:rsidR="002752F6" w:rsidRPr="009B39EC">
              <w:rPr>
                <w:rFonts w:ascii="Arial" w:hAnsi="Arial" w:cs="Arial"/>
                <w:bCs/>
                <w:color w:val="000000" w:themeColor="text1"/>
                <w:sz w:val="20"/>
                <w:szCs w:val="20"/>
                <w:lang w:val="en-GB"/>
              </w:rPr>
              <w:t>ALL</w:t>
            </w:r>
            <w:r w:rsidR="009F35CE" w:rsidRPr="009B39EC">
              <w:rPr>
                <w:rFonts w:ascii="Arial" w:hAnsi="Arial" w:cs="Arial"/>
                <w:bCs/>
                <w:color w:val="000000" w:themeColor="text1"/>
                <w:sz w:val="20"/>
                <w:szCs w:val="20"/>
                <w:lang w:val="en-GB"/>
              </w:rPr>
              <w:t xml:space="preserve"> (34,780 EUR). </w:t>
            </w:r>
            <w:r w:rsidR="00F06D76" w:rsidRPr="009B39EC">
              <w:rPr>
                <w:rFonts w:ascii="Arial" w:hAnsi="Arial" w:cs="Arial"/>
                <w:bCs/>
                <w:color w:val="000000" w:themeColor="text1"/>
                <w:sz w:val="20"/>
                <w:szCs w:val="20"/>
                <w:lang w:val="en-GB"/>
              </w:rPr>
              <w:t xml:space="preserve">Out of the </w:t>
            </w:r>
            <w:r w:rsidR="009F35CE" w:rsidRPr="009B39EC">
              <w:rPr>
                <w:rFonts w:ascii="Arial" w:hAnsi="Arial" w:cs="Arial"/>
                <w:bCs/>
                <w:color w:val="000000" w:themeColor="text1"/>
                <w:sz w:val="20"/>
                <w:szCs w:val="20"/>
                <w:lang w:val="en-GB"/>
              </w:rPr>
              <w:t xml:space="preserve">117 </w:t>
            </w:r>
            <w:r w:rsidR="00F06D76" w:rsidRPr="009B39EC">
              <w:rPr>
                <w:rFonts w:ascii="Arial" w:hAnsi="Arial" w:cs="Arial"/>
                <w:bCs/>
                <w:color w:val="000000" w:themeColor="text1"/>
                <w:sz w:val="20"/>
                <w:szCs w:val="20"/>
                <w:lang w:val="en-GB"/>
              </w:rPr>
              <w:t xml:space="preserve">beneficiaries of the social </w:t>
            </w:r>
            <w:r w:rsidR="00C575AB" w:rsidRPr="009B39EC">
              <w:rPr>
                <w:rFonts w:ascii="Arial" w:hAnsi="Arial" w:cs="Arial"/>
                <w:bCs/>
                <w:color w:val="000000" w:themeColor="text1"/>
                <w:sz w:val="20"/>
                <w:szCs w:val="20"/>
                <w:lang w:val="en-GB"/>
              </w:rPr>
              <w:t>assistance</w:t>
            </w:r>
            <w:r w:rsidR="00F06D76" w:rsidRPr="009B39EC">
              <w:rPr>
                <w:rFonts w:ascii="Arial" w:hAnsi="Arial" w:cs="Arial"/>
                <w:bCs/>
                <w:color w:val="000000" w:themeColor="text1"/>
                <w:sz w:val="20"/>
                <w:szCs w:val="20"/>
                <w:lang w:val="en-GB"/>
              </w:rPr>
              <w:t xml:space="preserve"> payments, 43 were women</w:t>
            </w:r>
            <w:r w:rsidR="00131ACB" w:rsidRPr="009B39EC">
              <w:rPr>
                <w:rFonts w:ascii="Arial" w:hAnsi="Arial" w:cs="Arial"/>
                <w:bCs/>
                <w:color w:val="000000" w:themeColor="text1"/>
                <w:sz w:val="20"/>
                <w:szCs w:val="20"/>
                <w:lang w:val="en-GB"/>
              </w:rPr>
              <w:t xml:space="preserve">. </w:t>
            </w:r>
          </w:p>
          <w:p w14:paraId="725FFEA5" w14:textId="77777777" w:rsidR="00212054" w:rsidRPr="009B39EC" w:rsidRDefault="00212054" w:rsidP="00812908">
            <w:pPr>
              <w:autoSpaceDE w:val="0"/>
              <w:autoSpaceDN w:val="0"/>
              <w:adjustRightInd w:val="0"/>
              <w:jc w:val="both"/>
              <w:rPr>
                <w:rFonts w:ascii="Arial" w:hAnsi="Arial" w:cs="Arial"/>
                <w:bCs/>
                <w:color w:val="000000" w:themeColor="text1"/>
                <w:sz w:val="20"/>
                <w:szCs w:val="20"/>
                <w:lang w:val="en-GB"/>
              </w:rPr>
            </w:pPr>
          </w:p>
          <w:p w14:paraId="246EB56E" w14:textId="651813E0" w:rsidR="00212054" w:rsidRPr="009B39EC" w:rsidRDefault="00F06D76" w:rsidP="00812908">
            <w:pPr>
              <w:autoSpaceDE w:val="0"/>
              <w:autoSpaceDN w:val="0"/>
              <w:adjustRightInd w:val="0"/>
              <w:jc w:val="both"/>
              <w:rPr>
                <w:rFonts w:ascii="Arial" w:hAnsi="Arial" w:cs="Arial"/>
                <w:sz w:val="20"/>
                <w:szCs w:val="20"/>
                <w:lang w:val="en-GB"/>
              </w:rPr>
            </w:pPr>
            <w:r w:rsidRPr="009B39EC">
              <w:rPr>
                <w:rFonts w:ascii="Arial" w:hAnsi="Arial" w:cs="Arial"/>
                <w:bCs/>
                <w:color w:val="000000" w:themeColor="text1"/>
                <w:sz w:val="20"/>
                <w:szCs w:val="20"/>
                <w:lang w:val="en-GB"/>
              </w:rPr>
              <w:t>As of 2018,</w:t>
            </w:r>
            <w:r w:rsidRPr="009B39EC">
              <w:rPr>
                <w:rFonts w:ascii="Arial" w:hAnsi="Arial" w:cs="Arial"/>
                <w:b/>
                <w:color w:val="000000" w:themeColor="text1"/>
                <w:sz w:val="20"/>
                <w:szCs w:val="20"/>
                <w:lang w:val="en-GB"/>
              </w:rPr>
              <w:t xml:space="preserve"> the Municipality </w:t>
            </w:r>
            <w:r w:rsidR="003B1992" w:rsidRPr="009B39EC">
              <w:rPr>
                <w:rFonts w:ascii="Arial" w:hAnsi="Arial" w:cs="Arial"/>
                <w:b/>
                <w:color w:val="000000" w:themeColor="text1"/>
                <w:sz w:val="20"/>
                <w:szCs w:val="20"/>
                <w:lang w:val="en-GB"/>
              </w:rPr>
              <w:t xml:space="preserve">of Lezha </w:t>
            </w:r>
            <w:r w:rsidR="003B1992" w:rsidRPr="009B39EC">
              <w:rPr>
                <w:rFonts w:ascii="Arial" w:hAnsi="Arial" w:cs="Arial"/>
                <w:bCs/>
                <w:color w:val="000000" w:themeColor="text1"/>
                <w:sz w:val="20"/>
                <w:szCs w:val="20"/>
                <w:lang w:val="en-GB"/>
              </w:rPr>
              <w:t xml:space="preserve">has been allocating </w:t>
            </w:r>
            <w:r w:rsidR="00212054" w:rsidRPr="009B39EC">
              <w:rPr>
                <w:rFonts w:ascii="Arial" w:hAnsi="Arial" w:cs="Arial"/>
                <w:bCs/>
                <w:color w:val="000000" w:themeColor="text1"/>
                <w:sz w:val="20"/>
                <w:szCs w:val="20"/>
                <w:lang w:val="en-GB"/>
              </w:rPr>
              <w:t xml:space="preserve">500,000 </w:t>
            </w:r>
            <w:r w:rsidR="002752F6" w:rsidRPr="009B39EC">
              <w:rPr>
                <w:rFonts w:ascii="Arial" w:hAnsi="Arial" w:cs="Arial"/>
                <w:bCs/>
                <w:color w:val="000000" w:themeColor="text1"/>
                <w:sz w:val="20"/>
                <w:szCs w:val="20"/>
                <w:lang w:val="en-GB"/>
              </w:rPr>
              <w:t>ALL</w:t>
            </w:r>
            <w:r w:rsidR="00212054" w:rsidRPr="009B39EC">
              <w:rPr>
                <w:rFonts w:ascii="Arial" w:hAnsi="Arial" w:cs="Arial"/>
                <w:bCs/>
                <w:color w:val="000000" w:themeColor="text1"/>
                <w:sz w:val="20"/>
                <w:szCs w:val="20"/>
                <w:lang w:val="en-GB"/>
              </w:rPr>
              <w:t xml:space="preserve"> </w:t>
            </w:r>
            <w:r w:rsidR="00212054" w:rsidRPr="009B39EC">
              <w:rPr>
                <w:rFonts w:ascii="Arial" w:hAnsi="Arial" w:cs="Arial"/>
                <w:sz w:val="20"/>
                <w:szCs w:val="20"/>
                <w:lang w:val="en-GB"/>
              </w:rPr>
              <w:t xml:space="preserve">(4,167 EUR) </w:t>
            </w:r>
            <w:r w:rsidRPr="009B39EC">
              <w:rPr>
                <w:rFonts w:ascii="Arial" w:hAnsi="Arial" w:cs="Arial"/>
                <w:sz w:val="20"/>
                <w:szCs w:val="20"/>
                <w:lang w:val="en-GB"/>
              </w:rPr>
              <w:t>for activities on preventing and combatting all forms of violence against women</w:t>
            </w:r>
            <w:r w:rsidR="00212054" w:rsidRPr="009B39EC">
              <w:rPr>
                <w:rFonts w:ascii="Arial" w:hAnsi="Arial" w:cs="Arial"/>
                <w:sz w:val="20"/>
                <w:szCs w:val="20"/>
                <w:lang w:val="en-GB"/>
              </w:rPr>
              <w:t>.</w:t>
            </w:r>
          </w:p>
          <w:p w14:paraId="30800DD6" w14:textId="77777777" w:rsidR="00212054" w:rsidRPr="009B39EC" w:rsidRDefault="00212054" w:rsidP="00812908">
            <w:pPr>
              <w:autoSpaceDE w:val="0"/>
              <w:autoSpaceDN w:val="0"/>
              <w:adjustRightInd w:val="0"/>
              <w:jc w:val="both"/>
              <w:rPr>
                <w:rFonts w:ascii="Arial" w:hAnsi="Arial" w:cs="Arial"/>
                <w:sz w:val="20"/>
                <w:szCs w:val="20"/>
                <w:lang w:val="en-GB"/>
              </w:rPr>
            </w:pPr>
          </w:p>
          <w:p w14:paraId="700FCC16" w14:textId="432E2296" w:rsidR="00212054" w:rsidRPr="009B39EC" w:rsidRDefault="00F06D76" w:rsidP="00212054">
            <w:pPr>
              <w:autoSpaceDE w:val="0"/>
              <w:autoSpaceDN w:val="0"/>
              <w:adjustRightInd w:val="0"/>
              <w:jc w:val="both"/>
              <w:rPr>
                <w:rFonts w:ascii="Arial" w:hAnsi="Arial" w:cs="Arial"/>
                <w:sz w:val="20"/>
                <w:szCs w:val="20"/>
                <w:lang w:val="en-GB"/>
              </w:rPr>
            </w:pPr>
            <w:r w:rsidRPr="009B39EC">
              <w:rPr>
                <w:rFonts w:ascii="Arial" w:hAnsi="Arial" w:cs="Arial"/>
                <w:bCs/>
                <w:color w:val="000000" w:themeColor="text1"/>
                <w:sz w:val="20"/>
                <w:szCs w:val="20"/>
                <w:lang w:val="en-GB"/>
              </w:rPr>
              <w:t>In its 2021 budget,</w:t>
            </w:r>
            <w:r w:rsidRPr="009B39EC">
              <w:rPr>
                <w:rFonts w:ascii="Arial" w:hAnsi="Arial" w:cs="Arial"/>
                <w:b/>
                <w:color w:val="000000" w:themeColor="text1"/>
                <w:sz w:val="20"/>
                <w:szCs w:val="20"/>
                <w:lang w:val="en-GB"/>
              </w:rPr>
              <w:t xml:space="preserve"> the Municipality </w:t>
            </w:r>
            <w:r w:rsidR="003B1992" w:rsidRPr="009B39EC">
              <w:rPr>
                <w:rFonts w:ascii="Arial" w:hAnsi="Arial" w:cs="Arial"/>
                <w:b/>
                <w:color w:val="000000" w:themeColor="text1"/>
                <w:sz w:val="20"/>
                <w:szCs w:val="20"/>
                <w:lang w:val="en-GB"/>
              </w:rPr>
              <w:t xml:space="preserve">of Devoll </w:t>
            </w:r>
            <w:r w:rsidRPr="009B39EC">
              <w:rPr>
                <w:rFonts w:ascii="Arial" w:hAnsi="Arial" w:cs="Arial"/>
                <w:bCs/>
                <w:color w:val="000000" w:themeColor="text1"/>
                <w:sz w:val="20"/>
                <w:szCs w:val="20"/>
                <w:lang w:val="en-GB"/>
              </w:rPr>
              <w:t xml:space="preserve">allocated the </w:t>
            </w:r>
            <w:r w:rsidR="00445CB5" w:rsidRPr="009B39EC">
              <w:rPr>
                <w:rFonts w:ascii="Arial" w:hAnsi="Arial" w:cs="Arial"/>
                <w:bCs/>
                <w:color w:val="000000" w:themeColor="text1"/>
                <w:sz w:val="20"/>
                <w:szCs w:val="20"/>
                <w:lang w:val="en-GB"/>
              </w:rPr>
              <w:t>sum</w:t>
            </w:r>
            <w:r w:rsidRPr="009B39EC">
              <w:rPr>
                <w:rFonts w:ascii="Arial" w:hAnsi="Arial" w:cs="Arial"/>
                <w:bCs/>
                <w:color w:val="000000" w:themeColor="text1"/>
                <w:sz w:val="20"/>
                <w:szCs w:val="20"/>
                <w:lang w:val="en-GB"/>
              </w:rPr>
              <w:t xml:space="preserve"> of </w:t>
            </w:r>
            <w:r w:rsidR="00212054" w:rsidRPr="009B39EC">
              <w:rPr>
                <w:rFonts w:ascii="Arial" w:hAnsi="Arial" w:cs="Arial"/>
                <w:bCs/>
                <w:color w:val="000000" w:themeColor="text1"/>
                <w:sz w:val="20"/>
                <w:szCs w:val="20"/>
                <w:lang w:val="en-GB"/>
              </w:rPr>
              <w:t xml:space="preserve">200,000 </w:t>
            </w:r>
            <w:r w:rsidRPr="009B39EC">
              <w:rPr>
                <w:rFonts w:ascii="Arial" w:hAnsi="Arial" w:cs="Arial"/>
                <w:bCs/>
                <w:color w:val="000000" w:themeColor="text1"/>
                <w:sz w:val="20"/>
                <w:szCs w:val="20"/>
                <w:lang w:val="en-GB"/>
              </w:rPr>
              <w:t>ALL</w:t>
            </w:r>
            <w:r w:rsidR="00212054" w:rsidRPr="009B39EC">
              <w:rPr>
                <w:rFonts w:ascii="Arial" w:hAnsi="Arial" w:cs="Arial"/>
                <w:bCs/>
                <w:color w:val="000000" w:themeColor="text1"/>
                <w:sz w:val="20"/>
                <w:szCs w:val="20"/>
                <w:lang w:val="en-GB"/>
              </w:rPr>
              <w:t xml:space="preserve"> </w:t>
            </w:r>
            <w:r w:rsidR="00212054" w:rsidRPr="009B39EC">
              <w:rPr>
                <w:rFonts w:ascii="Arial" w:hAnsi="Arial" w:cs="Arial"/>
                <w:sz w:val="20"/>
                <w:szCs w:val="20"/>
                <w:lang w:val="en-GB"/>
              </w:rPr>
              <w:t xml:space="preserve">(1,667 EUR) </w:t>
            </w:r>
            <w:r w:rsidRPr="009B39EC">
              <w:rPr>
                <w:rFonts w:ascii="Arial" w:hAnsi="Arial" w:cs="Arial"/>
                <w:sz w:val="20"/>
                <w:szCs w:val="20"/>
                <w:lang w:val="en-GB"/>
              </w:rPr>
              <w:t>for activities on preventing and combatting all forms of violence against women</w:t>
            </w:r>
            <w:r w:rsidR="00212054" w:rsidRPr="009B39EC">
              <w:rPr>
                <w:rFonts w:ascii="Arial" w:hAnsi="Arial" w:cs="Arial"/>
                <w:sz w:val="20"/>
                <w:szCs w:val="20"/>
                <w:lang w:val="en-GB"/>
              </w:rPr>
              <w:t>.</w:t>
            </w:r>
          </w:p>
          <w:p w14:paraId="03B38FDA" w14:textId="1AA25160" w:rsidR="00212054" w:rsidRPr="009B39EC" w:rsidRDefault="00212054" w:rsidP="00212054">
            <w:pPr>
              <w:autoSpaceDE w:val="0"/>
              <w:autoSpaceDN w:val="0"/>
              <w:adjustRightInd w:val="0"/>
              <w:jc w:val="both"/>
              <w:rPr>
                <w:rFonts w:ascii="Arial" w:hAnsi="Arial" w:cs="Arial"/>
                <w:sz w:val="20"/>
                <w:szCs w:val="20"/>
                <w:lang w:val="en-GB"/>
              </w:rPr>
            </w:pPr>
          </w:p>
          <w:p w14:paraId="601885AC" w14:textId="4975B7CA" w:rsidR="00212054" w:rsidRPr="009B39EC" w:rsidRDefault="00F06D76" w:rsidP="00212054">
            <w:pPr>
              <w:autoSpaceDE w:val="0"/>
              <w:autoSpaceDN w:val="0"/>
              <w:adjustRightInd w:val="0"/>
              <w:jc w:val="both"/>
              <w:rPr>
                <w:rFonts w:ascii="Arial" w:hAnsi="Arial" w:cs="Arial"/>
                <w:sz w:val="20"/>
                <w:szCs w:val="20"/>
                <w:lang w:val="en-GB"/>
              </w:rPr>
            </w:pPr>
            <w:r w:rsidRPr="009B39EC">
              <w:rPr>
                <w:rFonts w:ascii="Arial" w:hAnsi="Arial" w:cs="Arial"/>
                <w:sz w:val="20"/>
                <w:szCs w:val="20"/>
                <w:lang w:val="en-GB"/>
              </w:rPr>
              <w:t>As of 2018,</w:t>
            </w:r>
            <w:r w:rsidRPr="009B39EC">
              <w:rPr>
                <w:rFonts w:ascii="Arial" w:hAnsi="Arial" w:cs="Arial"/>
                <w:b/>
                <w:bCs/>
                <w:sz w:val="20"/>
                <w:szCs w:val="20"/>
                <w:lang w:val="en-GB"/>
              </w:rPr>
              <w:t xml:space="preserve"> the Municipality</w:t>
            </w:r>
            <w:r w:rsidR="00212054" w:rsidRPr="009B39EC">
              <w:rPr>
                <w:rFonts w:ascii="Arial" w:hAnsi="Arial" w:cs="Arial"/>
                <w:bCs/>
                <w:color w:val="000000" w:themeColor="text1"/>
                <w:sz w:val="20"/>
                <w:szCs w:val="20"/>
                <w:lang w:val="en-GB"/>
              </w:rPr>
              <w:t xml:space="preserve"> </w:t>
            </w:r>
            <w:r w:rsidR="003B1992" w:rsidRPr="009B39EC">
              <w:rPr>
                <w:rFonts w:ascii="Arial" w:hAnsi="Arial" w:cs="Arial"/>
                <w:b/>
                <w:color w:val="000000" w:themeColor="text1"/>
                <w:sz w:val="20"/>
                <w:szCs w:val="20"/>
                <w:lang w:val="en-GB"/>
              </w:rPr>
              <w:t xml:space="preserve">of </w:t>
            </w:r>
            <w:r w:rsidR="003B1992" w:rsidRPr="009B39EC">
              <w:rPr>
                <w:rFonts w:ascii="Arial" w:hAnsi="Arial" w:cs="Arial"/>
                <w:b/>
                <w:bCs/>
                <w:sz w:val="20"/>
                <w:szCs w:val="20"/>
                <w:lang w:val="en-GB"/>
              </w:rPr>
              <w:t>Korça</w:t>
            </w:r>
            <w:r w:rsidR="003B1992" w:rsidRPr="009B39EC">
              <w:rPr>
                <w:rFonts w:ascii="Arial" w:hAnsi="Arial" w:cs="Arial"/>
                <w:bCs/>
                <w:color w:val="000000" w:themeColor="text1"/>
                <w:sz w:val="20"/>
                <w:szCs w:val="20"/>
                <w:lang w:val="en-GB"/>
              </w:rPr>
              <w:t xml:space="preserve"> has been allocating </w:t>
            </w:r>
            <w:r w:rsidR="00212054" w:rsidRPr="009B39EC">
              <w:rPr>
                <w:rFonts w:ascii="Arial" w:hAnsi="Arial" w:cs="Arial"/>
                <w:sz w:val="20"/>
                <w:szCs w:val="20"/>
                <w:lang w:val="en-GB"/>
              </w:rPr>
              <w:t xml:space="preserve">424,900 </w:t>
            </w:r>
            <w:r w:rsidRPr="009B39EC">
              <w:rPr>
                <w:rFonts w:ascii="Arial" w:hAnsi="Arial" w:cs="Arial"/>
                <w:sz w:val="20"/>
                <w:szCs w:val="20"/>
                <w:lang w:val="en-GB"/>
              </w:rPr>
              <w:t>ALL</w:t>
            </w:r>
            <w:r w:rsidR="00212054" w:rsidRPr="009B39EC">
              <w:rPr>
                <w:rFonts w:ascii="Arial" w:hAnsi="Arial" w:cs="Arial"/>
                <w:sz w:val="20"/>
                <w:szCs w:val="20"/>
                <w:lang w:val="en-GB"/>
              </w:rPr>
              <w:t xml:space="preserve"> (3,541 EUR)</w:t>
            </w:r>
            <w:r w:rsidR="003B1992" w:rsidRPr="009B39EC">
              <w:rPr>
                <w:rFonts w:ascii="Arial" w:hAnsi="Arial" w:cs="Arial"/>
                <w:sz w:val="20"/>
                <w:szCs w:val="20"/>
                <w:lang w:val="en-GB"/>
              </w:rPr>
              <w:t xml:space="preserve"> of its budget for these issues</w:t>
            </w:r>
            <w:r w:rsidRPr="009B39EC">
              <w:rPr>
                <w:rFonts w:ascii="Arial" w:hAnsi="Arial" w:cs="Arial"/>
                <w:sz w:val="20"/>
                <w:szCs w:val="20"/>
                <w:lang w:val="en-GB"/>
              </w:rPr>
              <w:t>, of which</w:t>
            </w:r>
            <w:r w:rsidR="00212054" w:rsidRPr="009B39EC">
              <w:rPr>
                <w:rFonts w:ascii="Arial" w:hAnsi="Arial" w:cs="Arial"/>
                <w:sz w:val="20"/>
                <w:szCs w:val="20"/>
                <w:lang w:val="en-GB"/>
              </w:rPr>
              <w:t xml:space="preserve"> 288,000 </w:t>
            </w:r>
            <w:r w:rsidR="002752F6" w:rsidRPr="009B39EC">
              <w:rPr>
                <w:rFonts w:ascii="Arial" w:hAnsi="Arial" w:cs="Arial"/>
                <w:sz w:val="20"/>
                <w:szCs w:val="20"/>
                <w:lang w:val="en-GB"/>
              </w:rPr>
              <w:t>ALL</w:t>
            </w:r>
            <w:r w:rsidR="00212054" w:rsidRPr="009B39EC">
              <w:rPr>
                <w:rFonts w:ascii="Arial" w:hAnsi="Arial" w:cs="Arial"/>
                <w:sz w:val="20"/>
                <w:szCs w:val="20"/>
                <w:lang w:val="en-GB"/>
              </w:rPr>
              <w:t xml:space="preserve"> (2,400 EUR) </w:t>
            </w:r>
            <w:r w:rsidRPr="009B39EC">
              <w:rPr>
                <w:rFonts w:ascii="Arial" w:hAnsi="Arial" w:cs="Arial"/>
                <w:sz w:val="20"/>
                <w:szCs w:val="20"/>
                <w:lang w:val="en-GB"/>
              </w:rPr>
              <w:t xml:space="preserve">go towards covering the needs of the emergency shelter for victims of domestic violence and </w:t>
            </w:r>
            <w:r w:rsidR="006A58B2" w:rsidRPr="009B39EC">
              <w:rPr>
                <w:rFonts w:ascii="Arial" w:hAnsi="Arial" w:cs="Arial"/>
                <w:sz w:val="20"/>
                <w:szCs w:val="20"/>
                <w:lang w:val="en-GB"/>
              </w:rPr>
              <w:t xml:space="preserve">136,900 </w:t>
            </w:r>
            <w:r w:rsidR="002752F6" w:rsidRPr="009B39EC">
              <w:rPr>
                <w:rFonts w:ascii="Arial" w:hAnsi="Arial" w:cs="Arial"/>
                <w:sz w:val="20"/>
                <w:szCs w:val="20"/>
                <w:lang w:val="en-GB"/>
              </w:rPr>
              <w:t>ALL</w:t>
            </w:r>
            <w:r w:rsidR="006A58B2" w:rsidRPr="009B39EC">
              <w:rPr>
                <w:rFonts w:ascii="Arial" w:hAnsi="Arial" w:cs="Arial"/>
                <w:sz w:val="20"/>
                <w:szCs w:val="20"/>
                <w:lang w:val="en-GB"/>
              </w:rPr>
              <w:t xml:space="preserve"> (1,141 EUR) </w:t>
            </w:r>
            <w:r w:rsidRPr="009B39EC">
              <w:rPr>
                <w:rFonts w:ascii="Arial" w:hAnsi="Arial" w:cs="Arial"/>
                <w:sz w:val="20"/>
                <w:szCs w:val="20"/>
                <w:lang w:val="en-GB"/>
              </w:rPr>
              <w:t>go towards awareness raising activities</w:t>
            </w:r>
            <w:r w:rsidR="006A58B2" w:rsidRPr="009B39EC">
              <w:rPr>
                <w:rFonts w:ascii="Arial" w:hAnsi="Arial" w:cs="Arial"/>
                <w:sz w:val="20"/>
                <w:szCs w:val="20"/>
                <w:lang w:val="en-GB"/>
              </w:rPr>
              <w:t>.</w:t>
            </w:r>
          </w:p>
          <w:p w14:paraId="5EC1DEAB" w14:textId="29155C82" w:rsidR="00212054" w:rsidRPr="009B39EC" w:rsidRDefault="00212054" w:rsidP="00812908">
            <w:pPr>
              <w:autoSpaceDE w:val="0"/>
              <w:autoSpaceDN w:val="0"/>
              <w:adjustRightInd w:val="0"/>
              <w:jc w:val="both"/>
              <w:rPr>
                <w:rFonts w:ascii="Arial" w:hAnsi="Arial" w:cs="Arial"/>
                <w:bCs/>
                <w:color w:val="000000" w:themeColor="text1"/>
                <w:sz w:val="20"/>
                <w:szCs w:val="20"/>
                <w:lang w:val="en-GB"/>
              </w:rPr>
            </w:pPr>
          </w:p>
        </w:tc>
      </w:tr>
      <w:tr w:rsidR="00DC5A7D" w:rsidRPr="009B39EC" w14:paraId="1184CAB8" w14:textId="77777777" w:rsidTr="004860C4">
        <w:tc>
          <w:tcPr>
            <w:tcW w:w="216" w:type="pct"/>
          </w:tcPr>
          <w:p w14:paraId="58C5E073"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lastRenderedPageBreak/>
              <w:t>12.2</w:t>
            </w:r>
          </w:p>
        </w:tc>
        <w:tc>
          <w:tcPr>
            <w:tcW w:w="4784" w:type="pct"/>
            <w:gridSpan w:val="3"/>
          </w:tcPr>
          <w:p w14:paraId="02ECC9D3" w14:textId="11EDBCD8" w:rsidR="00DC5A7D" w:rsidRPr="009B39EC" w:rsidRDefault="004056CA" w:rsidP="00DC5A7D">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4860C4" w:rsidRPr="009B39EC">
              <w:rPr>
                <w:rFonts w:ascii="Arial" w:hAnsi="Arial" w:cs="Arial"/>
                <w:sz w:val="20"/>
                <w:szCs w:val="20"/>
                <w:lang w:val="en-GB"/>
              </w:rPr>
              <w:t>:</w:t>
            </w:r>
          </w:p>
          <w:p w14:paraId="581AA6FB" w14:textId="7E3CF0BF" w:rsidR="004860C4" w:rsidRPr="009B39EC" w:rsidRDefault="004860C4" w:rsidP="00DC5A7D">
            <w:pPr>
              <w:jc w:val="both"/>
              <w:rPr>
                <w:rFonts w:ascii="Arial" w:hAnsi="Arial" w:cs="Arial"/>
                <w:sz w:val="20"/>
                <w:szCs w:val="20"/>
                <w:lang w:val="en-GB"/>
              </w:rPr>
            </w:pPr>
          </w:p>
        </w:tc>
      </w:tr>
      <w:tr w:rsidR="00DC5A7D" w:rsidRPr="009B39EC" w14:paraId="0448870F" w14:textId="77777777" w:rsidTr="00047815">
        <w:tc>
          <w:tcPr>
            <w:tcW w:w="216" w:type="pct"/>
          </w:tcPr>
          <w:p w14:paraId="2E61BF06"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13</w:t>
            </w:r>
          </w:p>
        </w:tc>
        <w:tc>
          <w:tcPr>
            <w:tcW w:w="3497" w:type="pct"/>
          </w:tcPr>
          <w:p w14:paraId="3F515308" w14:textId="59467BBF" w:rsidR="00DC5A7D" w:rsidRPr="009B39EC" w:rsidRDefault="00852584" w:rsidP="00DC5A7D">
            <w:pPr>
              <w:pStyle w:val="NoSpacing"/>
              <w:jc w:val="both"/>
              <w:rPr>
                <w:rFonts w:ascii="Arial" w:hAnsi="Arial" w:cs="Arial"/>
                <w:sz w:val="20"/>
                <w:szCs w:val="20"/>
                <w:lang w:val="en-GB"/>
              </w:rPr>
            </w:pPr>
            <w:r w:rsidRPr="009B39EC">
              <w:rPr>
                <w:rFonts w:ascii="Arial" w:hAnsi="Arial" w:cs="Arial"/>
                <w:sz w:val="20"/>
                <w:szCs w:val="20"/>
                <w:lang w:val="en-GB"/>
              </w:rPr>
              <w:t>Have these funds increased since the publication of GREVIO’s baseline evaluation report</w:t>
            </w:r>
            <w:r w:rsidR="004860C4" w:rsidRPr="009B39EC">
              <w:rPr>
                <w:rFonts w:ascii="Arial" w:hAnsi="Arial" w:cs="Arial"/>
                <w:sz w:val="20"/>
                <w:szCs w:val="20"/>
                <w:lang w:val="en-GB"/>
              </w:rPr>
              <w:t>?</w:t>
            </w:r>
          </w:p>
          <w:p w14:paraId="325B2180" w14:textId="77777777" w:rsidR="005361B9" w:rsidRPr="009B39EC" w:rsidRDefault="005361B9" w:rsidP="00DC5A7D">
            <w:pPr>
              <w:pStyle w:val="NoSpacing"/>
              <w:jc w:val="both"/>
              <w:rPr>
                <w:rFonts w:ascii="Arial" w:hAnsi="Arial" w:cs="Arial"/>
                <w:sz w:val="20"/>
                <w:szCs w:val="20"/>
                <w:lang w:val="en-GB"/>
              </w:rPr>
            </w:pPr>
          </w:p>
          <w:p w14:paraId="0761ED2C" w14:textId="5F681DD5" w:rsidR="005361B9" w:rsidRPr="009B39EC" w:rsidRDefault="00694FCA" w:rsidP="00DC5A7D">
            <w:pPr>
              <w:pStyle w:val="NoSpacing"/>
              <w:jc w:val="both"/>
              <w:rPr>
                <w:rFonts w:ascii="Arial" w:hAnsi="Arial" w:cs="Arial"/>
                <w:b/>
                <w:bCs/>
                <w:sz w:val="20"/>
                <w:szCs w:val="20"/>
                <w:lang w:val="en-GB"/>
              </w:rPr>
            </w:pPr>
            <w:r w:rsidRPr="009B39EC">
              <w:rPr>
                <w:rFonts w:ascii="Arial" w:hAnsi="Arial" w:cs="Arial"/>
                <w:b/>
                <w:bCs/>
                <w:sz w:val="20"/>
                <w:szCs w:val="20"/>
                <w:lang w:val="en-GB"/>
              </w:rPr>
              <w:t>The percentage of the total of budgetary expenditure in Medium-Term Budget Programmes has increased from</w:t>
            </w:r>
            <w:r w:rsidR="005361B9" w:rsidRPr="009B39EC">
              <w:rPr>
                <w:rFonts w:ascii="Arial" w:hAnsi="Arial" w:cs="Arial"/>
                <w:b/>
                <w:bCs/>
                <w:sz w:val="20"/>
                <w:szCs w:val="20"/>
                <w:lang w:val="en-GB"/>
              </w:rPr>
              <w:t xml:space="preserve"> 2.3</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the </w:t>
            </w:r>
            <w:r w:rsidR="005361B9" w:rsidRPr="009B39EC">
              <w:rPr>
                <w:rFonts w:ascii="Arial" w:hAnsi="Arial" w:cs="Arial"/>
                <w:b/>
                <w:bCs/>
                <w:sz w:val="20"/>
                <w:szCs w:val="20"/>
                <w:lang w:val="en-GB"/>
              </w:rPr>
              <w:t>2017</w:t>
            </w:r>
            <w:r w:rsidRPr="009B39EC">
              <w:rPr>
                <w:rFonts w:ascii="Arial" w:hAnsi="Arial" w:cs="Arial"/>
                <w:b/>
                <w:bCs/>
                <w:sz w:val="20"/>
                <w:szCs w:val="20"/>
                <w:lang w:val="en-GB"/>
              </w:rPr>
              <w:t>-</w:t>
            </w:r>
            <w:r w:rsidR="005361B9" w:rsidRPr="009B39EC">
              <w:rPr>
                <w:rFonts w:ascii="Arial" w:hAnsi="Arial" w:cs="Arial"/>
                <w:b/>
                <w:bCs/>
                <w:sz w:val="20"/>
                <w:szCs w:val="20"/>
                <w:lang w:val="en-GB"/>
              </w:rPr>
              <w:t xml:space="preserve">2019 </w:t>
            </w:r>
            <w:r w:rsidRPr="009B39EC">
              <w:rPr>
                <w:rFonts w:ascii="Arial" w:hAnsi="Arial" w:cs="Arial"/>
                <w:b/>
                <w:bCs/>
                <w:sz w:val="20"/>
                <w:szCs w:val="20"/>
                <w:lang w:val="en-GB"/>
              </w:rPr>
              <w:t xml:space="preserve">MTBP to </w:t>
            </w:r>
            <w:r w:rsidR="005361B9" w:rsidRPr="009B39EC">
              <w:rPr>
                <w:rFonts w:ascii="Arial" w:hAnsi="Arial" w:cs="Arial"/>
                <w:b/>
                <w:bCs/>
                <w:sz w:val="20"/>
                <w:szCs w:val="20"/>
                <w:lang w:val="en-GB"/>
              </w:rPr>
              <w:t>6.3</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in the</w:t>
            </w:r>
            <w:r w:rsidR="005361B9" w:rsidRPr="009B39EC">
              <w:rPr>
                <w:rFonts w:ascii="Arial" w:hAnsi="Arial" w:cs="Arial"/>
                <w:b/>
                <w:bCs/>
                <w:sz w:val="20"/>
                <w:szCs w:val="20"/>
                <w:lang w:val="en-GB"/>
              </w:rPr>
              <w:t xml:space="preserve"> 2019</w:t>
            </w:r>
            <w:r w:rsidRPr="009B39EC">
              <w:rPr>
                <w:rFonts w:ascii="Arial" w:hAnsi="Arial" w:cs="Arial"/>
                <w:b/>
                <w:bCs/>
                <w:sz w:val="20"/>
                <w:szCs w:val="20"/>
                <w:lang w:val="en-GB"/>
              </w:rPr>
              <w:t>-</w:t>
            </w:r>
            <w:r w:rsidR="005361B9" w:rsidRPr="009B39EC">
              <w:rPr>
                <w:rFonts w:ascii="Arial" w:hAnsi="Arial" w:cs="Arial"/>
                <w:b/>
                <w:bCs/>
                <w:sz w:val="20"/>
                <w:szCs w:val="20"/>
                <w:lang w:val="en-GB"/>
              </w:rPr>
              <w:t>2021</w:t>
            </w:r>
            <w:r w:rsidRPr="009B39EC">
              <w:rPr>
                <w:rFonts w:ascii="Arial" w:hAnsi="Arial" w:cs="Arial"/>
                <w:b/>
                <w:bCs/>
                <w:sz w:val="20"/>
                <w:szCs w:val="20"/>
                <w:lang w:val="en-GB"/>
              </w:rPr>
              <w:t xml:space="preserve"> MTPB</w:t>
            </w:r>
            <w:r w:rsidR="005361B9" w:rsidRPr="009B39EC">
              <w:rPr>
                <w:rFonts w:ascii="Arial" w:hAnsi="Arial" w:cs="Arial"/>
                <w:b/>
                <w:bCs/>
                <w:sz w:val="20"/>
                <w:szCs w:val="20"/>
                <w:lang w:val="en-GB"/>
              </w:rPr>
              <w:t>.</w:t>
            </w:r>
          </w:p>
          <w:p w14:paraId="3935D381" w14:textId="77777777" w:rsidR="005361B9" w:rsidRPr="009B39EC" w:rsidRDefault="005361B9" w:rsidP="00DC5A7D">
            <w:pPr>
              <w:pStyle w:val="NoSpacing"/>
              <w:jc w:val="both"/>
              <w:rPr>
                <w:rFonts w:ascii="Arial" w:hAnsi="Arial" w:cs="Arial"/>
                <w:b/>
                <w:bCs/>
                <w:sz w:val="20"/>
                <w:szCs w:val="20"/>
                <w:lang w:val="en-GB"/>
              </w:rPr>
            </w:pPr>
          </w:p>
          <w:p w14:paraId="3FB9D72C" w14:textId="65F0DCD6" w:rsidR="005361B9" w:rsidRPr="009B39EC" w:rsidRDefault="003B1992" w:rsidP="00DC5A7D">
            <w:pPr>
              <w:pStyle w:val="NoSpacing"/>
              <w:jc w:val="both"/>
              <w:rPr>
                <w:rFonts w:ascii="Arial" w:hAnsi="Arial" w:cs="Arial"/>
                <w:b/>
                <w:bCs/>
                <w:sz w:val="20"/>
                <w:szCs w:val="20"/>
                <w:lang w:val="en-GB"/>
              </w:rPr>
            </w:pPr>
            <w:r w:rsidRPr="009B39EC">
              <w:rPr>
                <w:rFonts w:ascii="Arial" w:hAnsi="Arial" w:cs="Arial"/>
                <w:b/>
                <w:bCs/>
                <w:sz w:val="20"/>
                <w:szCs w:val="20"/>
                <w:lang w:val="en-GB"/>
              </w:rPr>
              <w:t xml:space="preserve">As far as the </w:t>
            </w:r>
            <w:r w:rsidR="00694FCA" w:rsidRPr="009B39EC">
              <w:rPr>
                <w:rFonts w:ascii="Arial" w:hAnsi="Arial" w:cs="Arial"/>
                <w:b/>
                <w:bCs/>
                <w:sz w:val="20"/>
                <w:szCs w:val="20"/>
                <w:lang w:val="en-GB"/>
              </w:rPr>
              <w:t>funds allocated by the Ministry of Justice</w:t>
            </w:r>
            <w:r w:rsidRPr="009B39EC">
              <w:rPr>
                <w:rFonts w:ascii="Arial" w:hAnsi="Arial" w:cs="Arial"/>
                <w:b/>
                <w:bCs/>
                <w:sz w:val="20"/>
                <w:szCs w:val="20"/>
                <w:lang w:val="en-GB"/>
              </w:rPr>
              <w:t xml:space="preserve"> are concerned</w:t>
            </w:r>
            <w:r w:rsidR="00694FCA" w:rsidRPr="009B39EC">
              <w:rPr>
                <w:rFonts w:ascii="Arial" w:hAnsi="Arial" w:cs="Arial"/>
                <w:b/>
                <w:bCs/>
                <w:sz w:val="20"/>
                <w:szCs w:val="20"/>
                <w:lang w:val="en-GB"/>
              </w:rPr>
              <w:t>, the</w:t>
            </w:r>
            <w:r w:rsidRPr="009B39EC">
              <w:rPr>
                <w:rFonts w:ascii="Arial" w:hAnsi="Arial" w:cs="Arial"/>
                <w:b/>
                <w:bCs/>
                <w:sz w:val="20"/>
                <w:szCs w:val="20"/>
                <w:lang w:val="en-GB"/>
              </w:rPr>
              <w:t>se have increased</w:t>
            </w:r>
            <w:r w:rsidR="00694FCA" w:rsidRPr="009B39EC">
              <w:rPr>
                <w:rFonts w:ascii="Arial" w:hAnsi="Arial" w:cs="Arial"/>
                <w:b/>
                <w:bCs/>
                <w:sz w:val="20"/>
                <w:szCs w:val="20"/>
                <w:lang w:val="en-GB"/>
              </w:rPr>
              <w:t xml:space="preserve"> as follows</w:t>
            </w:r>
            <w:r w:rsidR="005361B9" w:rsidRPr="009B39EC">
              <w:rPr>
                <w:rFonts w:ascii="Arial" w:hAnsi="Arial" w:cs="Arial"/>
                <w:b/>
                <w:bCs/>
                <w:sz w:val="20"/>
                <w:szCs w:val="20"/>
                <w:lang w:val="en-GB"/>
              </w:rPr>
              <w:t>:</w:t>
            </w:r>
          </w:p>
          <w:p w14:paraId="3FBF6C9B" w14:textId="349D6655" w:rsidR="005361B9" w:rsidRPr="009B39EC" w:rsidRDefault="00694FCA" w:rsidP="005361B9">
            <w:pPr>
              <w:pStyle w:val="NoSpacing"/>
              <w:numPr>
                <w:ilvl w:val="0"/>
                <w:numId w:val="14"/>
              </w:numPr>
              <w:jc w:val="both"/>
              <w:rPr>
                <w:rFonts w:ascii="Arial" w:hAnsi="Arial" w:cs="Arial"/>
                <w:b/>
                <w:bCs/>
                <w:sz w:val="20"/>
                <w:szCs w:val="20"/>
                <w:lang w:val="en-GB"/>
              </w:rPr>
            </w:pPr>
            <w:r w:rsidRPr="009B39EC">
              <w:rPr>
                <w:rFonts w:ascii="Arial" w:hAnsi="Arial" w:cs="Arial"/>
                <w:b/>
                <w:bCs/>
                <w:sz w:val="20"/>
                <w:szCs w:val="20"/>
                <w:lang w:val="en-GB"/>
              </w:rPr>
              <w:t>Free legal aid for women and girls in need – a 10</w:t>
            </w:r>
            <w:r w:rsidR="007515B1" w:rsidRPr="009B39EC">
              <w:rPr>
                <w:rFonts w:ascii="Arial" w:hAnsi="Arial" w:cs="Arial"/>
                <w:b/>
                <w:bCs/>
                <w:sz w:val="20"/>
                <w:szCs w:val="20"/>
                <w:lang w:val="en-GB"/>
              </w:rPr>
              <w:t>%</w:t>
            </w:r>
            <w:r w:rsidRPr="009B39EC">
              <w:rPr>
                <w:rFonts w:ascii="Arial" w:hAnsi="Arial" w:cs="Arial"/>
                <w:b/>
                <w:bCs/>
                <w:sz w:val="20"/>
                <w:szCs w:val="20"/>
                <w:lang w:val="en-GB"/>
              </w:rPr>
              <w:t xml:space="preserve"> increase in 2018 compared to 2017, an increase of </w:t>
            </w:r>
            <w:r w:rsidR="005361B9" w:rsidRPr="009B39EC">
              <w:rPr>
                <w:rFonts w:ascii="Arial" w:hAnsi="Arial" w:cs="Arial"/>
                <w:b/>
                <w:bCs/>
                <w:sz w:val="20"/>
                <w:szCs w:val="20"/>
                <w:lang w:val="en-GB"/>
              </w:rPr>
              <w:t>64</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in</w:t>
            </w:r>
            <w:r w:rsidR="005361B9" w:rsidRPr="009B39EC">
              <w:rPr>
                <w:rFonts w:ascii="Arial" w:hAnsi="Arial" w:cs="Arial"/>
                <w:b/>
                <w:bCs/>
                <w:sz w:val="20"/>
                <w:szCs w:val="20"/>
                <w:lang w:val="en-GB"/>
              </w:rPr>
              <w:t xml:space="preserve"> 2019 </w:t>
            </w:r>
            <w:r w:rsidRPr="009B39EC">
              <w:rPr>
                <w:rFonts w:ascii="Arial" w:hAnsi="Arial" w:cs="Arial"/>
                <w:b/>
                <w:bCs/>
                <w:sz w:val="20"/>
                <w:szCs w:val="20"/>
                <w:lang w:val="en-GB"/>
              </w:rPr>
              <w:t xml:space="preserve">and </w:t>
            </w:r>
            <w:r w:rsidR="005361B9" w:rsidRPr="009B39EC">
              <w:rPr>
                <w:rFonts w:ascii="Arial" w:hAnsi="Arial" w:cs="Arial"/>
                <w:b/>
                <w:bCs/>
                <w:sz w:val="20"/>
                <w:szCs w:val="20"/>
                <w:lang w:val="en-GB"/>
              </w:rPr>
              <w:t>56</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w:t>
            </w:r>
            <w:proofErr w:type="gramStart"/>
            <w:r w:rsidR="005361B9" w:rsidRPr="009B39EC">
              <w:rPr>
                <w:rFonts w:ascii="Arial" w:hAnsi="Arial" w:cs="Arial"/>
                <w:b/>
                <w:bCs/>
                <w:sz w:val="20"/>
                <w:szCs w:val="20"/>
                <w:lang w:val="en-GB"/>
              </w:rPr>
              <w:t>2021;</w:t>
            </w:r>
            <w:proofErr w:type="gramEnd"/>
          </w:p>
          <w:p w14:paraId="67E8C748" w14:textId="5B7E90D4" w:rsidR="005361B9" w:rsidRPr="009B39EC" w:rsidRDefault="00694FCA" w:rsidP="005361B9">
            <w:pPr>
              <w:pStyle w:val="NoSpacing"/>
              <w:numPr>
                <w:ilvl w:val="0"/>
                <w:numId w:val="14"/>
              </w:numPr>
              <w:jc w:val="both"/>
              <w:rPr>
                <w:rFonts w:ascii="Arial" w:hAnsi="Arial" w:cs="Arial"/>
                <w:b/>
                <w:bCs/>
                <w:sz w:val="20"/>
                <w:szCs w:val="20"/>
                <w:lang w:val="en-GB"/>
              </w:rPr>
            </w:pPr>
            <w:r w:rsidRPr="009B39EC">
              <w:rPr>
                <w:rFonts w:ascii="Arial" w:hAnsi="Arial" w:cs="Arial"/>
                <w:b/>
                <w:bCs/>
                <w:sz w:val="20"/>
                <w:szCs w:val="20"/>
                <w:lang w:val="en-GB"/>
              </w:rPr>
              <w:t>Women inmates serving sentences in Institutions for the Execution of Criminal Decisions</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an increase of </w:t>
            </w:r>
            <w:r w:rsidR="005361B9" w:rsidRPr="009B39EC">
              <w:rPr>
                <w:rFonts w:ascii="Arial" w:hAnsi="Arial" w:cs="Arial"/>
                <w:b/>
                <w:bCs/>
                <w:sz w:val="20"/>
                <w:szCs w:val="20"/>
                <w:lang w:val="en-GB"/>
              </w:rPr>
              <w:t>4</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2018 compared to </w:t>
            </w:r>
            <w:proofErr w:type="gramStart"/>
            <w:r w:rsidR="005361B9" w:rsidRPr="009B39EC">
              <w:rPr>
                <w:rFonts w:ascii="Arial" w:hAnsi="Arial" w:cs="Arial"/>
                <w:b/>
                <w:bCs/>
                <w:sz w:val="20"/>
                <w:szCs w:val="20"/>
                <w:lang w:val="en-GB"/>
              </w:rPr>
              <w:t>2017;</w:t>
            </w:r>
            <w:proofErr w:type="gramEnd"/>
          </w:p>
          <w:p w14:paraId="61964323" w14:textId="08167AF6" w:rsidR="005361B9" w:rsidRPr="009B39EC" w:rsidRDefault="00694FCA" w:rsidP="005361B9">
            <w:pPr>
              <w:pStyle w:val="NoSpacing"/>
              <w:numPr>
                <w:ilvl w:val="0"/>
                <w:numId w:val="14"/>
              </w:numPr>
              <w:jc w:val="both"/>
              <w:rPr>
                <w:rFonts w:ascii="Arial" w:hAnsi="Arial" w:cs="Arial"/>
                <w:b/>
                <w:bCs/>
                <w:sz w:val="20"/>
                <w:szCs w:val="20"/>
                <w:lang w:val="en-GB"/>
              </w:rPr>
            </w:pPr>
            <w:r w:rsidRPr="009B39EC">
              <w:rPr>
                <w:rFonts w:ascii="Arial" w:hAnsi="Arial" w:cs="Arial"/>
                <w:b/>
                <w:bCs/>
                <w:sz w:val="20"/>
                <w:szCs w:val="20"/>
                <w:lang w:val="en-GB"/>
              </w:rPr>
              <w:t>Convicted women on probation</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an increase of </w:t>
            </w:r>
            <w:r w:rsidR="005361B9" w:rsidRPr="009B39EC">
              <w:rPr>
                <w:rFonts w:ascii="Arial" w:hAnsi="Arial" w:cs="Arial"/>
                <w:b/>
                <w:bCs/>
                <w:sz w:val="20"/>
                <w:szCs w:val="20"/>
                <w:lang w:val="en-GB"/>
              </w:rPr>
              <w:t>1</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in</w:t>
            </w:r>
            <w:r w:rsidR="005361B9" w:rsidRPr="009B39EC">
              <w:rPr>
                <w:rFonts w:ascii="Arial" w:hAnsi="Arial" w:cs="Arial"/>
                <w:b/>
                <w:bCs/>
                <w:sz w:val="20"/>
                <w:szCs w:val="20"/>
                <w:lang w:val="en-GB"/>
              </w:rPr>
              <w:t xml:space="preserve"> 2019, 3</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w:t>
            </w:r>
            <w:r w:rsidR="005361B9" w:rsidRPr="009B39EC">
              <w:rPr>
                <w:rFonts w:ascii="Arial" w:hAnsi="Arial" w:cs="Arial"/>
                <w:b/>
                <w:bCs/>
                <w:sz w:val="20"/>
                <w:szCs w:val="20"/>
                <w:lang w:val="en-GB"/>
              </w:rPr>
              <w:t>2020</w:t>
            </w:r>
            <w:r w:rsidRPr="009B39EC">
              <w:rPr>
                <w:rFonts w:ascii="Arial" w:hAnsi="Arial" w:cs="Arial"/>
                <w:b/>
                <w:bCs/>
                <w:sz w:val="20"/>
                <w:szCs w:val="20"/>
                <w:lang w:val="en-GB"/>
              </w:rPr>
              <w:t xml:space="preserve">, and </w:t>
            </w:r>
            <w:r w:rsidR="005361B9" w:rsidRPr="009B39EC">
              <w:rPr>
                <w:rFonts w:ascii="Arial" w:hAnsi="Arial" w:cs="Arial"/>
                <w:b/>
                <w:bCs/>
                <w:sz w:val="20"/>
                <w:szCs w:val="20"/>
                <w:lang w:val="en-GB"/>
              </w:rPr>
              <w:t>1</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w:t>
            </w:r>
            <w:proofErr w:type="gramStart"/>
            <w:r w:rsidR="005361B9" w:rsidRPr="009B39EC">
              <w:rPr>
                <w:rFonts w:ascii="Arial" w:hAnsi="Arial" w:cs="Arial"/>
                <w:b/>
                <w:bCs/>
                <w:sz w:val="20"/>
                <w:szCs w:val="20"/>
                <w:lang w:val="en-GB"/>
              </w:rPr>
              <w:t>2021;</w:t>
            </w:r>
            <w:proofErr w:type="gramEnd"/>
          </w:p>
          <w:p w14:paraId="12C137DD" w14:textId="77777777" w:rsidR="005361B9" w:rsidRDefault="00694FCA" w:rsidP="005361B9">
            <w:pPr>
              <w:pStyle w:val="NoSpacing"/>
              <w:numPr>
                <w:ilvl w:val="0"/>
                <w:numId w:val="14"/>
              </w:numPr>
              <w:jc w:val="both"/>
              <w:rPr>
                <w:rFonts w:ascii="Arial" w:hAnsi="Arial" w:cs="Arial"/>
                <w:b/>
                <w:bCs/>
                <w:sz w:val="20"/>
                <w:szCs w:val="20"/>
                <w:lang w:val="en-GB"/>
              </w:rPr>
            </w:pPr>
            <w:r w:rsidRPr="009B39EC">
              <w:rPr>
                <w:rFonts w:ascii="Arial" w:hAnsi="Arial" w:cs="Arial"/>
                <w:b/>
                <w:bCs/>
                <w:sz w:val="20"/>
                <w:szCs w:val="20"/>
                <w:lang w:val="en-GB"/>
              </w:rPr>
              <w:t>Protection orders granted to women</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an increase of </w:t>
            </w:r>
            <w:r w:rsidR="005361B9" w:rsidRPr="009B39EC">
              <w:rPr>
                <w:rFonts w:ascii="Arial" w:hAnsi="Arial" w:cs="Arial"/>
                <w:b/>
                <w:bCs/>
                <w:sz w:val="20"/>
                <w:szCs w:val="20"/>
                <w:lang w:val="en-GB"/>
              </w:rPr>
              <w:t>8</w:t>
            </w:r>
            <w:r w:rsidR="007515B1" w:rsidRPr="009B39EC">
              <w:rPr>
                <w:rFonts w:ascii="Arial" w:hAnsi="Arial" w:cs="Arial"/>
                <w:b/>
                <w:bCs/>
                <w:sz w:val="20"/>
                <w:szCs w:val="20"/>
                <w:lang w:val="en-GB"/>
              </w:rPr>
              <w:t>%</w:t>
            </w:r>
            <w:r w:rsidR="005361B9"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w:t>
            </w:r>
            <w:r w:rsidR="005361B9" w:rsidRPr="009B39EC">
              <w:rPr>
                <w:rFonts w:ascii="Arial" w:hAnsi="Arial" w:cs="Arial"/>
                <w:b/>
                <w:bCs/>
                <w:sz w:val="20"/>
                <w:szCs w:val="20"/>
                <w:lang w:val="en-GB"/>
              </w:rPr>
              <w:t xml:space="preserve">2018 </w:t>
            </w:r>
            <w:r w:rsidRPr="009B39EC">
              <w:rPr>
                <w:rFonts w:ascii="Arial" w:hAnsi="Arial" w:cs="Arial"/>
                <w:b/>
                <w:bCs/>
                <w:sz w:val="20"/>
                <w:szCs w:val="20"/>
                <w:lang w:val="en-GB"/>
              </w:rPr>
              <w:t xml:space="preserve">compared to </w:t>
            </w:r>
            <w:r w:rsidR="005361B9" w:rsidRPr="009B39EC">
              <w:rPr>
                <w:rFonts w:ascii="Arial" w:hAnsi="Arial" w:cs="Arial"/>
                <w:b/>
                <w:bCs/>
                <w:sz w:val="20"/>
                <w:szCs w:val="20"/>
                <w:lang w:val="en-GB"/>
              </w:rPr>
              <w:t xml:space="preserve">2017, </w:t>
            </w:r>
            <w:r w:rsidRPr="009B39EC">
              <w:rPr>
                <w:rFonts w:ascii="Arial" w:hAnsi="Arial" w:cs="Arial"/>
                <w:b/>
                <w:bCs/>
                <w:sz w:val="20"/>
                <w:szCs w:val="20"/>
                <w:lang w:val="en-GB"/>
              </w:rPr>
              <w:t xml:space="preserve">and an increase of </w:t>
            </w:r>
            <w:r w:rsidR="002154F5" w:rsidRPr="009B39EC">
              <w:rPr>
                <w:rFonts w:ascii="Arial" w:hAnsi="Arial" w:cs="Arial"/>
                <w:b/>
                <w:bCs/>
                <w:sz w:val="20"/>
                <w:szCs w:val="20"/>
                <w:lang w:val="en-GB"/>
              </w:rPr>
              <w:t>41</w:t>
            </w:r>
            <w:r w:rsidR="007515B1" w:rsidRPr="009B39EC">
              <w:rPr>
                <w:rFonts w:ascii="Arial" w:hAnsi="Arial" w:cs="Arial"/>
                <w:b/>
                <w:bCs/>
                <w:sz w:val="20"/>
                <w:szCs w:val="20"/>
                <w:lang w:val="en-GB"/>
              </w:rPr>
              <w:t>%</w:t>
            </w:r>
            <w:r w:rsidR="002154F5" w:rsidRPr="009B39EC">
              <w:rPr>
                <w:rFonts w:ascii="Arial" w:hAnsi="Arial" w:cs="Arial"/>
                <w:b/>
                <w:bCs/>
                <w:sz w:val="20"/>
                <w:szCs w:val="20"/>
                <w:lang w:val="en-GB"/>
              </w:rPr>
              <w:t xml:space="preserve"> </w:t>
            </w:r>
            <w:r w:rsidRPr="009B39EC">
              <w:rPr>
                <w:rFonts w:ascii="Arial" w:hAnsi="Arial" w:cs="Arial"/>
                <w:b/>
                <w:bCs/>
                <w:sz w:val="20"/>
                <w:szCs w:val="20"/>
                <w:lang w:val="en-GB"/>
              </w:rPr>
              <w:t xml:space="preserve">in </w:t>
            </w:r>
            <w:r w:rsidR="002154F5" w:rsidRPr="009B39EC">
              <w:rPr>
                <w:rFonts w:ascii="Arial" w:hAnsi="Arial" w:cs="Arial"/>
                <w:b/>
                <w:bCs/>
                <w:sz w:val="20"/>
                <w:szCs w:val="20"/>
                <w:lang w:val="en-GB"/>
              </w:rPr>
              <w:t>2021</w:t>
            </w:r>
          </w:p>
          <w:p w14:paraId="76EA1C46" w14:textId="4D961C1C" w:rsidR="009B39EC" w:rsidRPr="009B39EC" w:rsidRDefault="009B39EC" w:rsidP="009B39EC">
            <w:pPr>
              <w:pStyle w:val="NoSpacing"/>
              <w:ind w:left="720"/>
              <w:jc w:val="both"/>
              <w:rPr>
                <w:rFonts w:ascii="Arial" w:hAnsi="Arial" w:cs="Arial"/>
                <w:b/>
                <w:bCs/>
                <w:sz w:val="20"/>
                <w:szCs w:val="20"/>
                <w:lang w:val="en-GB"/>
              </w:rPr>
            </w:pPr>
          </w:p>
        </w:tc>
        <w:tc>
          <w:tcPr>
            <w:tcW w:w="800" w:type="pct"/>
          </w:tcPr>
          <w:p w14:paraId="0E4B9422" w14:textId="398F7D12"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2013877120"/>
                <w14:checkbox>
                  <w14:checked w14:val="1"/>
                  <w14:checkedState w14:val="2612" w14:font="MS Gothic"/>
                  <w14:uncheckedState w14:val="2610" w14:font="MS Gothic"/>
                </w14:checkbox>
              </w:sdtPr>
              <w:sdtEndPr/>
              <w:sdtContent>
                <w:r w:rsidR="00D826A3" w:rsidRPr="009B39EC">
                  <w:rPr>
                    <w:rFonts w:ascii="Segoe UI Symbol" w:eastAsia="MS Gothic" w:hAnsi="Segoe UI Symbol" w:cs="Segoe UI Symbol"/>
                    <w:sz w:val="20"/>
                    <w:szCs w:val="20"/>
                    <w:lang w:val="en-GB"/>
                  </w:rPr>
                  <w:t>☒</w:t>
                </w:r>
              </w:sdtContent>
            </w:sdt>
          </w:p>
          <w:p w14:paraId="3815BEAB" w14:textId="4BAE1103" w:rsidR="00DC5A7D" w:rsidRPr="009B39EC" w:rsidRDefault="00F06D76" w:rsidP="00DC5A7D">
            <w:pPr>
              <w:jc w:val="both"/>
              <w:rPr>
                <w:rFonts w:ascii="Arial" w:hAnsi="Arial" w:cs="Arial"/>
                <w:sz w:val="20"/>
                <w:szCs w:val="20"/>
                <w:lang w:val="en-GB"/>
              </w:rPr>
            </w:pPr>
            <w:r w:rsidRPr="009B39EC">
              <w:rPr>
                <w:rFonts w:ascii="Arial" w:hAnsi="Arial" w:cs="Arial"/>
                <w:sz w:val="20"/>
                <w:szCs w:val="20"/>
                <w:lang w:val="en-GB"/>
              </w:rPr>
              <w:t>If yes, by what amount</w:t>
            </w:r>
            <w:r w:rsidR="004860C4" w:rsidRPr="009B39EC">
              <w:rPr>
                <w:rFonts w:ascii="Arial" w:hAnsi="Arial" w:cs="Arial"/>
                <w:sz w:val="20"/>
                <w:szCs w:val="20"/>
                <w:lang w:val="en-GB"/>
              </w:rPr>
              <w:t>:</w:t>
            </w:r>
          </w:p>
          <w:p w14:paraId="0466A074" w14:textId="7597D23C" w:rsidR="00D826A3" w:rsidRPr="009B39EC" w:rsidRDefault="005361B9" w:rsidP="00D826A3">
            <w:pPr>
              <w:rPr>
                <w:rFonts w:ascii="Arial" w:hAnsi="Arial" w:cs="Arial"/>
                <w:b/>
                <w:bCs/>
                <w:sz w:val="20"/>
                <w:szCs w:val="20"/>
                <w:lang w:val="en-GB"/>
              </w:rPr>
            </w:pPr>
            <w:r w:rsidRPr="009B39EC">
              <w:rPr>
                <w:rFonts w:ascii="Arial" w:hAnsi="Arial" w:cs="Arial"/>
                <w:b/>
                <w:bCs/>
                <w:sz w:val="20"/>
                <w:szCs w:val="20"/>
                <w:lang w:val="en-GB"/>
              </w:rPr>
              <w:t>4</w:t>
            </w:r>
            <w:r w:rsidR="007515B1" w:rsidRPr="009B39EC">
              <w:rPr>
                <w:rFonts w:ascii="Arial" w:hAnsi="Arial" w:cs="Arial"/>
                <w:b/>
                <w:bCs/>
                <w:sz w:val="20"/>
                <w:szCs w:val="20"/>
                <w:lang w:val="en-GB"/>
              </w:rPr>
              <w:t>%</w:t>
            </w:r>
            <w:r w:rsidRPr="009B39EC">
              <w:rPr>
                <w:rFonts w:ascii="Arial" w:hAnsi="Arial" w:cs="Arial"/>
                <w:b/>
                <w:bCs/>
                <w:sz w:val="20"/>
                <w:szCs w:val="20"/>
                <w:lang w:val="en-GB"/>
              </w:rPr>
              <w:t xml:space="preserve"> </w:t>
            </w:r>
            <w:r w:rsidR="007515B1" w:rsidRPr="009B39EC">
              <w:rPr>
                <w:rFonts w:ascii="Arial" w:hAnsi="Arial" w:cs="Arial"/>
                <w:b/>
                <w:bCs/>
                <w:sz w:val="20"/>
                <w:szCs w:val="20"/>
                <w:lang w:val="en-GB"/>
              </w:rPr>
              <w:t xml:space="preserve">for </w:t>
            </w:r>
            <w:r w:rsidR="00F06D76" w:rsidRPr="009B39EC">
              <w:rPr>
                <w:rFonts w:ascii="Arial" w:hAnsi="Arial" w:cs="Arial"/>
                <w:b/>
                <w:bCs/>
                <w:sz w:val="20"/>
                <w:szCs w:val="20"/>
                <w:lang w:val="en-GB"/>
              </w:rPr>
              <w:t>Gender Responsive Budgeting</w:t>
            </w:r>
          </w:p>
        </w:tc>
        <w:tc>
          <w:tcPr>
            <w:tcW w:w="487" w:type="pct"/>
          </w:tcPr>
          <w:p w14:paraId="70263191" w14:textId="05A2CB06"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531095224"/>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25EE3BAB" w14:textId="77777777" w:rsidTr="00047815">
        <w:tc>
          <w:tcPr>
            <w:tcW w:w="216" w:type="pct"/>
          </w:tcPr>
          <w:p w14:paraId="6D71F5D5"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14</w:t>
            </w:r>
          </w:p>
        </w:tc>
        <w:tc>
          <w:tcPr>
            <w:tcW w:w="3497" w:type="pct"/>
          </w:tcPr>
          <w:p w14:paraId="2BBEB0EC" w14:textId="77777777" w:rsidR="00DC5A7D" w:rsidRDefault="00047815" w:rsidP="00DC5A7D">
            <w:pPr>
              <w:pStyle w:val="NoSpacing"/>
              <w:jc w:val="both"/>
              <w:rPr>
                <w:rFonts w:ascii="Arial" w:hAnsi="Arial" w:cs="Arial"/>
                <w:sz w:val="20"/>
                <w:szCs w:val="20"/>
                <w:lang w:val="en-GB"/>
              </w:rPr>
            </w:pPr>
            <w:r w:rsidRPr="009B39EC">
              <w:rPr>
                <w:rFonts w:ascii="Arial" w:hAnsi="Arial" w:cs="Arial"/>
                <w:sz w:val="20"/>
                <w:szCs w:val="20"/>
                <w:lang w:val="en-GB"/>
              </w:rPr>
              <w:t>Have your authorities taken measures to foster long-term and sustainable financial support for non-governmental organisations working to support victims and prevent violence</w:t>
            </w:r>
            <w:r w:rsidR="004860C4" w:rsidRPr="009B39EC">
              <w:rPr>
                <w:rFonts w:ascii="Arial" w:hAnsi="Arial" w:cs="Arial"/>
                <w:sz w:val="20"/>
                <w:szCs w:val="20"/>
                <w:lang w:val="en-GB"/>
              </w:rPr>
              <w:t>?</w:t>
            </w:r>
          </w:p>
          <w:p w14:paraId="7BEB38E9" w14:textId="4E1F8F06" w:rsidR="009B39EC" w:rsidRPr="009B39EC" w:rsidRDefault="009B39EC" w:rsidP="00DC5A7D">
            <w:pPr>
              <w:pStyle w:val="NoSpacing"/>
              <w:jc w:val="both"/>
              <w:rPr>
                <w:rFonts w:ascii="Arial" w:hAnsi="Arial" w:cs="Arial"/>
                <w:sz w:val="20"/>
                <w:szCs w:val="20"/>
                <w:lang w:val="en-GB"/>
              </w:rPr>
            </w:pPr>
          </w:p>
        </w:tc>
        <w:tc>
          <w:tcPr>
            <w:tcW w:w="800" w:type="pct"/>
          </w:tcPr>
          <w:p w14:paraId="09F34313" w14:textId="2144E9E1" w:rsidR="00DC5A7D" w:rsidRPr="009B39EC" w:rsidRDefault="00A65624" w:rsidP="00DC5A7D">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1006126596"/>
                <w14:checkbox>
                  <w14:checked w14:val="1"/>
                  <w14:checkedState w14:val="2612" w14:font="MS Gothic"/>
                  <w14:uncheckedState w14:val="2610" w14:font="MS Gothic"/>
                </w14:checkbox>
              </w:sdtPr>
              <w:sdtEndPr/>
              <w:sdtContent>
                <w:r w:rsidR="00114995" w:rsidRPr="009B39EC">
                  <w:rPr>
                    <w:rFonts w:ascii="Segoe UI Symbol" w:eastAsia="MS Gothic" w:hAnsi="Segoe UI Symbol" w:cs="Segoe UI Symbol"/>
                    <w:sz w:val="20"/>
                    <w:szCs w:val="20"/>
                    <w:lang w:val="en-GB"/>
                  </w:rPr>
                  <w:t>☒</w:t>
                </w:r>
              </w:sdtContent>
            </w:sdt>
          </w:p>
        </w:tc>
        <w:tc>
          <w:tcPr>
            <w:tcW w:w="487" w:type="pct"/>
          </w:tcPr>
          <w:p w14:paraId="5460F044" w14:textId="03AB4BA8" w:rsidR="00DC5A7D" w:rsidRPr="009B39EC" w:rsidRDefault="00A65624" w:rsidP="00DC5A7D">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254319406"/>
                <w14:checkbox>
                  <w14:checked w14:val="0"/>
                  <w14:checkedState w14:val="2612" w14:font="MS Gothic"/>
                  <w14:uncheckedState w14:val="2610" w14:font="MS Gothic"/>
                </w14:checkbox>
              </w:sdtPr>
              <w:sdtEndPr/>
              <w:sdtContent>
                <w:r w:rsidR="00DC5A7D" w:rsidRPr="009B39EC">
                  <w:rPr>
                    <w:rFonts w:ascii="Segoe UI Symbol" w:eastAsia="MS Gothic" w:hAnsi="Segoe UI Symbol" w:cs="Segoe UI Symbol"/>
                    <w:sz w:val="20"/>
                    <w:szCs w:val="20"/>
                    <w:lang w:val="en-GB"/>
                  </w:rPr>
                  <w:t>☐</w:t>
                </w:r>
              </w:sdtContent>
            </w:sdt>
          </w:p>
        </w:tc>
      </w:tr>
      <w:tr w:rsidR="00DC5A7D" w:rsidRPr="009B39EC" w14:paraId="73ACA5B6" w14:textId="77777777" w:rsidTr="004860C4">
        <w:tc>
          <w:tcPr>
            <w:tcW w:w="216" w:type="pct"/>
          </w:tcPr>
          <w:p w14:paraId="3F73D63A"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t>14.1</w:t>
            </w:r>
          </w:p>
        </w:tc>
        <w:tc>
          <w:tcPr>
            <w:tcW w:w="4784" w:type="pct"/>
            <w:gridSpan w:val="3"/>
          </w:tcPr>
          <w:p w14:paraId="15B6FC8C" w14:textId="08D4BB08" w:rsidR="004860C4" w:rsidRPr="009B39EC" w:rsidRDefault="00047815" w:rsidP="004860C4">
            <w:pPr>
              <w:jc w:val="both"/>
              <w:rPr>
                <w:rFonts w:ascii="Arial" w:hAnsi="Arial" w:cs="Arial"/>
                <w:sz w:val="20"/>
                <w:szCs w:val="20"/>
                <w:lang w:val="en-GB"/>
              </w:rPr>
            </w:pPr>
            <w:r w:rsidRPr="009B39EC">
              <w:rPr>
                <w:rFonts w:ascii="Arial" w:hAnsi="Arial" w:cs="Arial"/>
                <w:sz w:val="20"/>
                <w:szCs w:val="20"/>
                <w:lang w:val="en-GB"/>
              </w:rPr>
              <w:t>If yes, please specify</w:t>
            </w:r>
            <w:r w:rsidR="004860C4" w:rsidRPr="009B39EC">
              <w:rPr>
                <w:rFonts w:ascii="Arial" w:hAnsi="Arial" w:cs="Arial"/>
                <w:sz w:val="20"/>
                <w:szCs w:val="20"/>
                <w:lang w:val="en-GB"/>
              </w:rPr>
              <w:t>:</w:t>
            </w:r>
          </w:p>
          <w:p w14:paraId="7DFED8E9" w14:textId="77777777" w:rsidR="00DC5A7D" w:rsidRPr="009B39EC" w:rsidRDefault="00DC5A7D" w:rsidP="00DC5A7D">
            <w:pPr>
              <w:jc w:val="both"/>
              <w:rPr>
                <w:rFonts w:ascii="Arial" w:hAnsi="Arial" w:cs="Arial"/>
                <w:sz w:val="20"/>
                <w:szCs w:val="20"/>
                <w:lang w:val="en-GB"/>
              </w:rPr>
            </w:pPr>
          </w:p>
          <w:p w14:paraId="4DCE5811" w14:textId="1988DD06" w:rsidR="00114995" w:rsidRDefault="00694FCA" w:rsidP="00DC5A7D">
            <w:pPr>
              <w:jc w:val="both"/>
              <w:rPr>
                <w:rFonts w:ascii="Arial" w:hAnsi="Arial" w:cs="Arial"/>
                <w:sz w:val="20"/>
                <w:szCs w:val="20"/>
                <w:lang w:val="en-GB"/>
              </w:rPr>
            </w:pPr>
            <w:r w:rsidRPr="009B39EC">
              <w:rPr>
                <w:rFonts w:ascii="Arial" w:hAnsi="Arial" w:cs="Arial"/>
                <w:sz w:val="20"/>
                <w:szCs w:val="20"/>
                <w:lang w:val="en-GB"/>
              </w:rPr>
              <w:t>The following specialised shelter services are supported by the state budget (Regions)</w:t>
            </w:r>
            <w:r w:rsidR="00114995" w:rsidRPr="009B39EC">
              <w:rPr>
                <w:rFonts w:ascii="Arial" w:hAnsi="Arial" w:cs="Arial"/>
                <w:sz w:val="20"/>
                <w:szCs w:val="20"/>
                <w:lang w:val="en-GB"/>
              </w:rPr>
              <w:t>:</w:t>
            </w:r>
          </w:p>
          <w:p w14:paraId="3293EA73" w14:textId="77777777" w:rsidR="009B39EC" w:rsidRPr="009B39EC" w:rsidRDefault="009B39EC" w:rsidP="00DC5A7D">
            <w:pPr>
              <w:jc w:val="both"/>
              <w:rPr>
                <w:rFonts w:ascii="Arial" w:hAnsi="Arial" w:cs="Arial"/>
                <w:sz w:val="20"/>
                <w:szCs w:val="20"/>
                <w:lang w:val="en-GB"/>
              </w:rPr>
            </w:pPr>
          </w:p>
          <w:tbl>
            <w:tblPr>
              <w:tblW w:w="1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875"/>
              <w:gridCol w:w="1890"/>
              <w:gridCol w:w="1800"/>
              <w:gridCol w:w="1800"/>
              <w:gridCol w:w="1800"/>
              <w:gridCol w:w="62"/>
            </w:tblGrid>
            <w:tr w:rsidR="00651347" w:rsidRPr="009B39EC" w14:paraId="6A749960" w14:textId="77777777" w:rsidTr="009B39EC">
              <w:tc>
                <w:tcPr>
                  <w:tcW w:w="2804" w:type="dxa"/>
                  <w:vMerge w:val="restart"/>
                  <w:shd w:val="clear" w:color="auto" w:fill="auto"/>
                </w:tcPr>
                <w:p w14:paraId="63B883C0" w14:textId="003FE954" w:rsidR="00651347" w:rsidRPr="009B39EC" w:rsidRDefault="00651347" w:rsidP="00651347">
                  <w:pPr>
                    <w:pStyle w:val="FootnoteText"/>
                    <w:jc w:val="center"/>
                    <w:rPr>
                      <w:rFonts w:ascii="Arial" w:hAnsi="Arial" w:cs="Arial"/>
                      <w:b/>
                      <w:bCs/>
                      <w:lang w:val="en-GB"/>
                    </w:rPr>
                  </w:pPr>
                  <w:r w:rsidRPr="009B39EC">
                    <w:rPr>
                      <w:rFonts w:ascii="Arial" w:hAnsi="Arial" w:cs="Arial"/>
                      <w:b/>
                      <w:bCs/>
                      <w:lang w:val="en-GB"/>
                    </w:rPr>
                    <w:lastRenderedPageBreak/>
                    <w:t>SERVICE CENTRES</w:t>
                  </w:r>
                </w:p>
              </w:tc>
              <w:tc>
                <w:tcPr>
                  <w:tcW w:w="9227" w:type="dxa"/>
                  <w:gridSpan w:val="6"/>
                  <w:shd w:val="clear" w:color="auto" w:fill="auto"/>
                </w:tcPr>
                <w:p w14:paraId="38A34401" w14:textId="7C163165" w:rsidR="00651347" w:rsidRPr="009B39EC" w:rsidRDefault="00651347" w:rsidP="00651347">
                  <w:pPr>
                    <w:pStyle w:val="FootnoteText"/>
                    <w:jc w:val="center"/>
                    <w:rPr>
                      <w:rFonts w:ascii="Arial" w:hAnsi="Arial" w:cs="Arial"/>
                      <w:b/>
                      <w:bCs/>
                      <w:lang w:val="en-GB"/>
                    </w:rPr>
                  </w:pPr>
                  <w:r w:rsidRPr="009B39EC">
                    <w:rPr>
                      <w:rFonts w:ascii="Arial" w:hAnsi="Arial" w:cs="Arial"/>
                      <w:b/>
                      <w:bCs/>
                      <w:lang w:val="en-GB"/>
                    </w:rPr>
                    <w:t>FUNDS TRANSFERRED BY YEAR</w:t>
                  </w:r>
                </w:p>
              </w:tc>
            </w:tr>
            <w:tr w:rsidR="00651347" w:rsidRPr="009B39EC" w14:paraId="7D799916" w14:textId="77777777" w:rsidTr="009B39EC">
              <w:trPr>
                <w:gridAfter w:val="1"/>
                <w:wAfter w:w="62" w:type="dxa"/>
              </w:trPr>
              <w:tc>
                <w:tcPr>
                  <w:tcW w:w="2804" w:type="dxa"/>
                  <w:vMerge/>
                  <w:shd w:val="clear" w:color="auto" w:fill="auto"/>
                </w:tcPr>
                <w:p w14:paraId="162CEEDD" w14:textId="77777777" w:rsidR="00651347" w:rsidRPr="009B39EC" w:rsidRDefault="00651347" w:rsidP="009B39EC">
                  <w:pPr>
                    <w:pStyle w:val="FootnoteText"/>
                    <w:jc w:val="center"/>
                    <w:rPr>
                      <w:rFonts w:ascii="Arial" w:hAnsi="Arial" w:cs="Arial"/>
                      <w:b/>
                      <w:bCs/>
                      <w:lang w:val="en-GB"/>
                    </w:rPr>
                  </w:pPr>
                </w:p>
              </w:tc>
              <w:tc>
                <w:tcPr>
                  <w:tcW w:w="1875" w:type="dxa"/>
                  <w:shd w:val="clear" w:color="auto" w:fill="auto"/>
                </w:tcPr>
                <w:p w14:paraId="54D458D8" w14:textId="7A71FAC1" w:rsidR="00651347" w:rsidRPr="009B39EC" w:rsidRDefault="00651347" w:rsidP="009B39EC">
                  <w:pPr>
                    <w:pStyle w:val="FootnoteText"/>
                    <w:jc w:val="center"/>
                    <w:rPr>
                      <w:rFonts w:ascii="Arial" w:hAnsi="Arial" w:cs="Arial"/>
                      <w:b/>
                      <w:lang w:val="en-GB"/>
                    </w:rPr>
                  </w:pPr>
                  <w:r w:rsidRPr="009B39EC">
                    <w:rPr>
                      <w:rFonts w:ascii="Arial" w:hAnsi="Arial" w:cs="Arial"/>
                      <w:b/>
                      <w:lang w:val="en-GB"/>
                    </w:rPr>
                    <w:t>2017</w:t>
                  </w:r>
                </w:p>
              </w:tc>
              <w:tc>
                <w:tcPr>
                  <w:tcW w:w="1890" w:type="dxa"/>
                  <w:shd w:val="clear" w:color="auto" w:fill="auto"/>
                </w:tcPr>
                <w:p w14:paraId="71613806" w14:textId="2A73CC38" w:rsidR="00651347" w:rsidRPr="009B39EC" w:rsidRDefault="00651347" w:rsidP="009B39EC">
                  <w:pPr>
                    <w:pStyle w:val="FootnoteText"/>
                    <w:jc w:val="center"/>
                    <w:rPr>
                      <w:rFonts w:ascii="Arial" w:hAnsi="Arial" w:cs="Arial"/>
                      <w:b/>
                      <w:lang w:val="en-GB"/>
                    </w:rPr>
                  </w:pPr>
                  <w:r w:rsidRPr="009B39EC">
                    <w:rPr>
                      <w:rFonts w:ascii="Arial" w:hAnsi="Arial" w:cs="Arial"/>
                      <w:b/>
                      <w:lang w:val="en-GB"/>
                    </w:rPr>
                    <w:t>2018</w:t>
                  </w:r>
                </w:p>
              </w:tc>
              <w:tc>
                <w:tcPr>
                  <w:tcW w:w="1800" w:type="dxa"/>
                  <w:shd w:val="clear" w:color="auto" w:fill="auto"/>
                </w:tcPr>
                <w:p w14:paraId="39AF2B0D" w14:textId="376E5251" w:rsidR="00651347" w:rsidRPr="009B39EC" w:rsidRDefault="00651347" w:rsidP="009B39EC">
                  <w:pPr>
                    <w:pStyle w:val="FootnoteText"/>
                    <w:jc w:val="center"/>
                    <w:rPr>
                      <w:rFonts w:ascii="Arial" w:hAnsi="Arial" w:cs="Arial"/>
                      <w:b/>
                      <w:lang w:val="en-GB"/>
                    </w:rPr>
                  </w:pPr>
                  <w:r w:rsidRPr="009B39EC">
                    <w:rPr>
                      <w:rFonts w:ascii="Arial" w:hAnsi="Arial" w:cs="Arial"/>
                      <w:b/>
                      <w:lang w:val="en-GB"/>
                    </w:rPr>
                    <w:t>2019</w:t>
                  </w:r>
                </w:p>
              </w:tc>
              <w:tc>
                <w:tcPr>
                  <w:tcW w:w="1800" w:type="dxa"/>
                  <w:shd w:val="clear" w:color="auto" w:fill="auto"/>
                </w:tcPr>
                <w:p w14:paraId="101368B8" w14:textId="1E58BC54" w:rsidR="00651347" w:rsidRPr="009B39EC" w:rsidRDefault="00651347" w:rsidP="009B39EC">
                  <w:pPr>
                    <w:pStyle w:val="FootnoteText"/>
                    <w:jc w:val="center"/>
                    <w:rPr>
                      <w:rFonts w:ascii="Arial" w:hAnsi="Arial" w:cs="Arial"/>
                      <w:b/>
                      <w:lang w:val="en-GB"/>
                    </w:rPr>
                  </w:pPr>
                  <w:r w:rsidRPr="009B39EC">
                    <w:rPr>
                      <w:rFonts w:ascii="Arial" w:hAnsi="Arial" w:cs="Arial"/>
                      <w:b/>
                      <w:lang w:val="en-GB"/>
                    </w:rPr>
                    <w:t>2020</w:t>
                  </w:r>
                </w:p>
              </w:tc>
              <w:tc>
                <w:tcPr>
                  <w:tcW w:w="1800" w:type="dxa"/>
                  <w:shd w:val="clear" w:color="auto" w:fill="auto"/>
                </w:tcPr>
                <w:p w14:paraId="53A509E6" w14:textId="2A3AF719" w:rsidR="00651347" w:rsidRPr="009B39EC" w:rsidRDefault="00651347" w:rsidP="009B39EC">
                  <w:pPr>
                    <w:pStyle w:val="FootnoteText"/>
                    <w:jc w:val="center"/>
                    <w:rPr>
                      <w:rFonts w:ascii="Arial" w:hAnsi="Arial" w:cs="Arial"/>
                      <w:b/>
                      <w:lang w:val="en-GB"/>
                    </w:rPr>
                  </w:pPr>
                  <w:r w:rsidRPr="009B39EC">
                    <w:rPr>
                      <w:rFonts w:ascii="Arial" w:hAnsi="Arial" w:cs="Arial"/>
                      <w:b/>
                      <w:lang w:val="en-GB"/>
                    </w:rPr>
                    <w:t>2021</w:t>
                  </w:r>
                </w:p>
              </w:tc>
            </w:tr>
            <w:tr w:rsidR="00E1574C" w:rsidRPr="009B39EC" w14:paraId="760F5F8A" w14:textId="77777777" w:rsidTr="00E1574C">
              <w:trPr>
                <w:gridAfter w:val="1"/>
                <w:wAfter w:w="62" w:type="dxa"/>
              </w:trPr>
              <w:tc>
                <w:tcPr>
                  <w:tcW w:w="2804" w:type="dxa"/>
                </w:tcPr>
                <w:p w14:paraId="590AB32D" w14:textId="7B24ECDB"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 </w:t>
                  </w:r>
                  <w:r w:rsidR="002752F6" w:rsidRPr="009B39EC">
                    <w:rPr>
                      <w:rFonts w:ascii="Arial" w:hAnsi="Arial" w:cs="Arial"/>
                      <w:lang w:val="en-GB"/>
                    </w:rPr>
                    <w:t>“</w:t>
                  </w:r>
                  <w:r w:rsidRPr="009B39EC">
                    <w:rPr>
                      <w:rFonts w:ascii="Arial" w:hAnsi="Arial" w:cs="Arial"/>
                      <w:lang w:val="en-GB"/>
                    </w:rPr>
                    <w:t>Të Ndryshëm</w:t>
                  </w:r>
                  <w:r w:rsidR="00694FCA" w:rsidRPr="009B39EC">
                    <w:rPr>
                      <w:rFonts w:ascii="Arial" w:hAnsi="Arial" w:cs="Arial"/>
                      <w:lang w:val="en-GB"/>
                    </w:rPr>
                    <w:t xml:space="preserve"> and </w:t>
                  </w:r>
                  <w:r w:rsidRPr="009B39EC">
                    <w:rPr>
                      <w:rFonts w:ascii="Arial" w:hAnsi="Arial" w:cs="Arial"/>
                      <w:lang w:val="en-GB"/>
                    </w:rPr>
                    <w:t>të Barabartë</w:t>
                  </w:r>
                  <w:r w:rsidR="002752F6" w:rsidRPr="009B39EC">
                    <w:rPr>
                      <w:rFonts w:ascii="Arial" w:hAnsi="Arial" w:cs="Arial"/>
                      <w:lang w:val="en-GB"/>
                    </w:rPr>
                    <w:t>” (Different and Equal) Association</w:t>
                  </w:r>
                  <w:r w:rsidRPr="009B39EC">
                    <w:rPr>
                      <w:rFonts w:ascii="Arial" w:hAnsi="Arial" w:cs="Arial"/>
                      <w:lang w:val="en-GB"/>
                    </w:rPr>
                    <w:t>, Tiran</w:t>
                  </w:r>
                  <w:r w:rsidR="002752F6" w:rsidRPr="009B39EC">
                    <w:rPr>
                      <w:rFonts w:ascii="Arial" w:hAnsi="Arial" w:cs="Arial"/>
                      <w:lang w:val="en-GB"/>
                    </w:rPr>
                    <w:t>a</w:t>
                  </w:r>
                </w:p>
              </w:tc>
              <w:tc>
                <w:tcPr>
                  <w:tcW w:w="1875" w:type="dxa"/>
                </w:tcPr>
                <w:p w14:paraId="44317680" w14:textId="41AB1870" w:rsidR="00E1574C" w:rsidRPr="009B39EC" w:rsidRDefault="00E1574C" w:rsidP="00E1574C">
                  <w:pPr>
                    <w:pStyle w:val="FootnoteText"/>
                    <w:jc w:val="both"/>
                    <w:rPr>
                      <w:rFonts w:ascii="Arial" w:hAnsi="Arial" w:cs="Arial"/>
                      <w:lang w:val="en-GB"/>
                    </w:rPr>
                  </w:pPr>
                  <w:r w:rsidRPr="009B39EC">
                    <w:rPr>
                      <w:rFonts w:ascii="Arial" w:hAnsi="Arial" w:cs="Arial"/>
                      <w:lang w:val="en-GB"/>
                    </w:rPr>
                    <w:t>9,804,597</w:t>
                  </w:r>
                  <w:r w:rsidR="002752F6" w:rsidRPr="009B39EC">
                    <w:rPr>
                      <w:rFonts w:ascii="Arial" w:hAnsi="Arial" w:cs="Arial"/>
                      <w:lang w:val="en-GB"/>
                    </w:rPr>
                    <w:t xml:space="preserve"> ALL</w:t>
                  </w:r>
                </w:p>
                <w:p w14:paraId="0A88AE53" w14:textId="5361631B" w:rsidR="00E1574C" w:rsidRPr="009B39EC" w:rsidRDefault="00E1574C" w:rsidP="00E1574C">
                  <w:pPr>
                    <w:pStyle w:val="FootnoteText"/>
                    <w:jc w:val="both"/>
                    <w:rPr>
                      <w:rFonts w:ascii="Arial" w:hAnsi="Arial" w:cs="Arial"/>
                      <w:lang w:val="en-GB"/>
                    </w:rPr>
                  </w:pPr>
                  <w:r w:rsidRPr="009B39EC">
                    <w:rPr>
                      <w:rFonts w:ascii="Arial" w:hAnsi="Arial" w:cs="Arial"/>
                      <w:lang w:val="en-GB"/>
                    </w:rPr>
                    <w:t>(81,705 EUR)</w:t>
                  </w:r>
                </w:p>
              </w:tc>
              <w:tc>
                <w:tcPr>
                  <w:tcW w:w="1890" w:type="dxa"/>
                </w:tcPr>
                <w:p w14:paraId="35C53D72" w14:textId="24DEC91F"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8,467,317 </w:t>
                  </w:r>
                  <w:r w:rsidR="002752F6" w:rsidRPr="009B39EC">
                    <w:rPr>
                      <w:rFonts w:ascii="Arial" w:hAnsi="Arial" w:cs="Arial"/>
                      <w:lang w:val="en-GB"/>
                    </w:rPr>
                    <w:t>ALL</w:t>
                  </w:r>
                </w:p>
                <w:p w14:paraId="38946BFC" w14:textId="28D8FA5D" w:rsidR="00E1574C" w:rsidRPr="009B39EC" w:rsidRDefault="00E1574C" w:rsidP="00E1574C">
                  <w:pPr>
                    <w:pStyle w:val="FootnoteText"/>
                    <w:jc w:val="both"/>
                    <w:rPr>
                      <w:rFonts w:ascii="Arial" w:hAnsi="Arial" w:cs="Arial"/>
                      <w:lang w:val="en-GB"/>
                    </w:rPr>
                  </w:pPr>
                  <w:r w:rsidRPr="009B39EC">
                    <w:rPr>
                      <w:rFonts w:ascii="Arial" w:hAnsi="Arial" w:cs="Arial"/>
                      <w:lang w:val="en-GB"/>
                    </w:rPr>
                    <w:t>(70,561 EUR)</w:t>
                  </w:r>
                </w:p>
              </w:tc>
              <w:tc>
                <w:tcPr>
                  <w:tcW w:w="1800" w:type="dxa"/>
                </w:tcPr>
                <w:p w14:paraId="72B22873" w14:textId="681ECA19"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9,054,487 </w:t>
                  </w:r>
                  <w:r w:rsidR="002752F6" w:rsidRPr="009B39EC">
                    <w:rPr>
                      <w:rFonts w:ascii="Arial" w:hAnsi="Arial" w:cs="Arial"/>
                      <w:lang w:val="en-GB"/>
                    </w:rPr>
                    <w:t>ALL</w:t>
                  </w:r>
                </w:p>
                <w:p w14:paraId="30FF877A" w14:textId="66137CA8" w:rsidR="00E1574C" w:rsidRPr="009B39EC" w:rsidRDefault="00E1574C" w:rsidP="00E1574C">
                  <w:pPr>
                    <w:pStyle w:val="FootnoteText"/>
                    <w:jc w:val="both"/>
                    <w:rPr>
                      <w:rFonts w:ascii="Arial" w:hAnsi="Arial" w:cs="Arial"/>
                      <w:lang w:val="en-GB"/>
                    </w:rPr>
                  </w:pPr>
                  <w:r w:rsidRPr="009B39EC">
                    <w:rPr>
                      <w:rFonts w:ascii="Arial" w:hAnsi="Arial" w:cs="Arial"/>
                      <w:lang w:val="en-GB"/>
                    </w:rPr>
                    <w:t>(75,454, EUR)</w:t>
                  </w:r>
                </w:p>
              </w:tc>
              <w:tc>
                <w:tcPr>
                  <w:tcW w:w="1800" w:type="dxa"/>
                </w:tcPr>
                <w:p w14:paraId="28F2960D" w14:textId="19D38D5D"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9,054,487 </w:t>
                  </w:r>
                  <w:r w:rsidR="002752F6" w:rsidRPr="009B39EC">
                    <w:rPr>
                      <w:rFonts w:ascii="Arial" w:hAnsi="Arial" w:cs="Arial"/>
                      <w:lang w:val="en-GB"/>
                    </w:rPr>
                    <w:t>ALL</w:t>
                  </w:r>
                </w:p>
                <w:p w14:paraId="55FD207F" w14:textId="7D732F6F" w:rsidR="00E1574C" w:rsidRPr="009B39EC" w:rsidRDefault="00E1574C" w:rsidP="00E1574C">
                  <w:pPr>
                    <w:pStyle w:val="FootnoteText"/>
                    <w:jc w:val="both"/>
                    <w:rPr>
                      <w:rFonts w:ascii="Arial" w:hAnsi="Arial" w:cs="Arial"/>
                      <w:lang w:val="en-GB"/>
                    </w:rPr>
                  </w:pPr>
                  <w:r w:rsidRPr="009B39EC">
                    <w:rPr>
                      <w:rFonts w:ascii="Arial" w:hAnsi="Arial" w:cs="Arial"/>
                      <w:lang w:val="en-GB"/>
                    </w:rPr>
                    <w:t>(75,454, EUR)</w:t>
                  </w:r>
                </w:p>
              </w:tc>
              <w:tc>
                <w:tcPr>
                  <w:tcW w:w="1800" w:type="dxa"/>
                </w:tcPr>
                <w:p w14:paraId="7DC413DA" w14:textId="131A2002"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9,091,458 </w:t>
                  </w:r>
                  <w:r w:rsidR="002752F6" w:rsidRPr="009B39EC">
                    <w:rPr>
                      <w:rFonts w:ascii="Arial" w:hAnsi="Arial" w:cs="Arial"/>
                      <w:lang w:val="en-GB"/>
                    </w:rPr>
                    <w:t>ALL</w:t>
                  </w:r>
                </w:p>
                <w:p w14:paraId="6AD4856C" w14:textId="6EA93D9E" w:rsidR="00D4106A" w:rsidRPr="009B39EC" w:rsidRDefault="00D4106A" w:rsidP="00E1574C">
                  <w:pPr>
                    <w:pStyle w:val="FootnoteText"/>
                    <w:jc w:val="both"/>
                    <w:rPr>
                      <w:rFonts w:ascii="Arial" w:hAnsi="Arial" w:cs="Arial"/>
                      <w:lang w:val="en-GB"/>
                    </w:rPr>
                  </w:pPr>
                  <w:r w:rsidRPr="009B39EC">
                    <w:rPr>
                      <w:rFonts w:ascii="Arial" w:hAnsi="Arial" w:cs="Arial"/>
                      <w:lang w:val="en-GB"/>
                    </w:rPr>
                    <w:t>(75,762 EUR)</w:t>
                  </w:r>
                </w:p>
              </w:tc>
            </w:tr>
            <w:tr w:rsidR="00E1574C" w:rsidRPr="009B39EC" w14:paraId="0A5D0043" w14:textId="77777777" w:rsidTr="00E1574C">
              <w:trPr>
                <w:gridAfter w:val="1"/>
                <w:wAfter w:w="62" w:type="dxa"/>
              </w:trPr>
              <w:tc>
                <w:tcPr>
                  <w:tcW w:w="2804" w:type="dxa"/>
                </w:tcPr>
                <w:p w14:paraId="46D13322" w14:textId="44648E23" w:rsidR="00E1574C" w:rsidRPr="009B39EC" w:rsidRDefault="00E1574C" w:rsidP="00E1574C">
                  <w:pPr>
                    <w:pStyle w:val="FootnoteText"/>
                    <w:jc w:val="both"/>
                    <w:rPr>
                      <w:rFonts w:ascii="Arial" w:hAnsi="Arial" w:cs="Arial"/>
                      <w:lang w:val="en-GB"/>
                    </w:rPr>
                  </w:pPr>
                  <w:r w:rsidRPr="009B39EC">
                    <w:rPr>
                      <w:rFonts w:ascii="Arial" w:hAnsi="Arial" w:cs="Arial"/>
                      <w:lang w:val="en-GB"/>
                    </w:rPr>
                    <w:t>“</w:t>
                  </w:r>
                  <w:proofErr w:type="spellStart"/>
                  <w:r w:rsidRPr="009B39EC">
                    <w:rPr>
                      <w:rFonts w:ascii="Arial" w:hAnsi="Arial" w:cs="Arial"/>
                      <w:lang w:val="en-GB"/>
                    </w:rPr>
                    <w:t>Tjetër</w:t>
                  </w:r>
                  <w:proofErr w:type="spellEnd"/>
                  <w:r w:rsidRPr="009B39EC">
                    <w:rPr>
                      <w:rFonts w:ascii="Arial" w:hAnsi="Arial" w:cs="Arial"/>
                      <w:lang w:val="en-GB"/>
                    </w:rPr>
                    <w:t xml:space="preserve"> </w:t>
                  </w:r>
                  <w:proofErr w:type="spellStart"/>
                  <w:r w:rsidRPr="009B39EC">
                    <w:rPr>
                      <w:rFonts w:ascii="Arial" w:hAnsi="Arial" w:cs="Arial"/>
                      <w:lang w:val="en-GB"/>
                    </w:rPr>
                    <w:t>Vizion</w:t>
                  </w:r>
                  <w:proofErr w:type="spellEnd"/>
                  <w:r w:rsidR="002752F6" w:rsidRPr="009B39EC">
                    <w:rPr>
                      <w:rFonts w:ascii="Arial" w:hAnsi="Arial" w:cs="Arial"/>
                      <w:lang w:val="en-GB"/>
                    </w:rPr>
                    <w:t>” (</w:t>
                  </w:r>
                  <w:r w:rsidR="00651347" w:rsidRPr="009B39EC">
                    <w:rPr>
                      <w:rFonts w:ascii="Arial" w:hAnsi="Arial" w:cs="Arial"/>
                      <w:lang w:val="en-GB"/>
                    </w:rPr>
                    <w:t xml:space="preserve">Other </w:t>
                  </w:r>
                  <w:r w:rsidR="002752F6" w:rsidRPr="009B39EC">
                    <w:rPr>
                      <w:rFonts w:ascii="Arial" w:hAnsi="Arial" w:cs="Arial"/>
                      <w:lang w:val="en-GB"/>
                    </w:rPr>
                    <w:t>Vision) Association</w:t>
                  </w:r>
                  <w:r w:rsidRPr="009B39EC">
                    <w:rPr>
                      <w:rFonts w:ascii="Arial" w:hAnsi="Arial" w:cs="Arial"/>
                      <w:lang w:val="en-GB"/>
                    </w:rPr>
                    <w:t>, Elbasan</w:t>
                  </w:r>
                </w:p>
              </w:tc>
              <w:tc>
                <w:tcPr>
                  <w:tcW w:w="1875" w:type="dxa"/>
                </w:tcPr>
                <w:p w14:paraId="13E7D802" w14:textId="08B99C7E"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5,792,615 </w:t>
                  </w:r>
                  <w:r w:rsidR="002752F6" w:rsidRPr="009B39EC">
                    <w:rPr>
                      <w:rFonts w:ascii="Arial" w:hAnsi="Arial" w:cs="Arial"/>
                      <w:lang w:val="en-GB"/>
                    </w:rPr>
                    <w:t>ALL</w:t>
                  </w:r>
                </w:p>
                <w:p w14:paraId="62A37EE2" w14:textId="18EC1A2E" w:rsidR="00E1574C" w:rsidRPr="009B39EC" w:rsidRDefault="00E1574C" w:rsidP="00E1574C">
                  <w:pPr>
                    <w:pStyle w:val="FootnoteText"/>
                    <w:jc w:val="both"/>
                    <w:rPr>
                      <w:rFonts w:ascii="Arial" w:hAnsi="Arial" w:cs="Arial"/>
                      <w:lang w:val="en-GB"/>
                    </w:rPr>
                  </w:pPr>
                  <w:r w:rsidRPr="009B39EC">
                    <w:rPr>
                      <w:rFonts w:ascii="Arial" w:hAnsi="Arial" w:cs="Arial"/>
                      <w:lang w:val="en-GB"/>
                    </w:rPr>
                    <w:t>(48,272 EUR)</w:t>
                  </w:r>
                </w:p>
              </w:tc>
              <w:tc>
                <w:tcPr>
                  <w:tcW w:w="1890" w:type="dxa"/>
                </w:tcPr>
                <w:p w14:paraId="201B7741" w14:textId="6D9A6EA4"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7,599,365 </w:t>
                  </w:r>
                  <w:r w:rsidR="002752F6" w:rsidRPr="009B39EC">
                    <w:rPr>
                      <w:rFonts w:ascii="Arial" w:hAnsi="Arial" w:cs="Arial"/>
                      <w:lang w:val="en-GB"/>
                    </w:rPr>
                    <w:t>ALL</w:t>
                  </w:r>
                </w:p>
                <w:p w14:paraId="354794A5" w14:textId="3F66C0A4" w:rsidR="00D4106A" w:rsidRPr="009B39EC" w:rsidRDefault="00D4106A" w:rsidP="00E1574C">
                  <w:pPr>
                    <w:pStyle w:val="FootnoteText"/>
                    <w:jc w:val="both"/>
                    <w:rPr>
                      <w:rFonts w:ascii="Arial" w:hAnsi="Arial" w:cs="Arial"/>
                      <w:lang w:val="en-GB"/>
                    </w:rPr>
                  </w:pPr>
                  <w:r w:rsidRPr="009B39EC">
                    <w:rPr>
                      <w:rFonts w:ascii="Arial" w:hAnsi="Arial" w:cs="Arial"/>
                      <w:lang w:val="en-GB"/>
                    </w:rPr>
                    <w:t>(63,328 EUR)</w:t>
                  </w:r>
                </w:p>
              </w:tc>
              <w:tc>
                <w:tcPr>
                  <w:tcW w:w="1800" w:type="dxa"/>
                </w:tcPr>
                <w:p w14:paraId="46613D1B" w14:textId="2D19E66D"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7,982,615 </w:t>
                  </w:r>
                  <w:r w:rsidR="002752F6" w:rsidRPr="009B39EC">
                    <w:rPr>
                      <w:rFonts w:ascii="Arial" w:hAnsi="Arial" w:cs="Arial"/>
                      <w:lang w:val="en-GB"/>
                    </w:rPr>
                    <w:t>ALL</w:t>
                  </w:r>
                </w:p>
                <w:p w14:paraId="161E510A" w14:textId="79B882D6" w:rsidR="00D4106A" w:rsidRPr="009B39EC" w:rsidRDefault="00D4106A" w:rsidP="00E1574C">
                  <w:pPr>
                    <w:pStyle w:val="FootnoteText"/>
                    <w:jc w:val="both"/>
                    <w:rPr>
                      <w:rFonts w:ascii="Arial" w:hAnsi="Arial" w:cs="Arial"/>
                      <w:lang w:val="en-GB"/>
                    </w:rPr>
                  </w:pPr>
                  <w:r w:rsidRPr="009B39EC">
                    <w:rPr>
                      <w:rFonts w:ascii="Arial" w:hAnsi="Arial" w:cs="Arial"/>
                      <w:lang w:val="en-GB"/>
                    </w:rPr>
                    <w:t>(66,522 EUR)</w:t>
                  </w:r>
                </w:p>
              </w:tc>
              <w:tc>
                <w:tcPr>
                  <w:tcW w:w="1800" w:type="dxa"/>
                </w:tcPr>
                <w:p w14:paraId="5AF751F0" w14:textId="67C1D24D"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7,982,615 </w:t>
                  </w:r>
                  <w:r w:rsidR="002752F6" w:rsidRPr="009B39EC">
                    <w:rPr>
                      <w:rFonts w:ascii="Arial" w:hAnsi="Arial" w:cs="Arial"/>
                      <w:lang w:val="en-GB"/>
                    </w:rPr>
                    <w:t>ALL</w:t>
                  </w:r>
                </w:p>
                <w:p w14:paraId="2417B0F8" w14:textId="77088AC2" w:rsidR="00D4106A" w:rsidRPr="009B39EC" w:rsidRDefault="00D4106A" w:rsidP="00E1574C">
                  <w:pPr>
                    <w:pStyle w:val="FootnoteText"/>
                    <w:jc w:val="both"/>
                    <w:rPr>
                      <w:rFonts w:ascii="Arial" w:hAnsi="Arial" w:cs="Arial"/>
                      <w:lang w:val="en-GB"/>
                    </w:rPr>
                  </w:pPr>
                  <w:r w:rsidRPr="009B39EC">
                    <w:rPr>
                      <w:rFonts w:ascii="Arial" w:hAnsi="Arial" w:cs="Arial"/>
                      <w:lang w:val="en-GB"/>
                    </w:rPr>
                    <w:t>(66,522 EUR)</w:t>
                  </w:r>
                </w:p>
              </w:tc>
              <w:tc>
                <w:tcPr>
                  <w:tcW w:w="1800" w:type="dxa"/>
                </w:tcPr>
                <w:p w14:paraId="5E6B6FFF" w14:textId="5497B52F"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9,034,794 </w:t>
                  </w:r>
                  <w:r w:rsidR="002752F6" w:rsidRPr="009B39EC">
                    <w:rPr>
                      <w:rFonts w:ascii="Arial" w:hAnsi="Arial" w:cs="Arial"/>
                      <w:lang w:val="en-GB"/>
                    </w:rPr>
                    <w:t>ALL</w:t>
                  </w:r>
                </w:p>
                <w:p w14:paraId="3BECE6BF" w14:textId="30BB9B6E" w:rsidR="00D4106A" w:rsidRPr="009B39EC" w:rsidRDefault="00D4106A" w:rsidP="00E1574C">
                  <w:pPr>
                    <w:pStyle w:val="FootnoteText"/>
                    <w:jc w:val="both"/>
                    <w:rPr>
                      <w:rFonts w:ascii="Arial" w:hAnsi="Arial" w:cs="Arial"/>
                      <w:lang w:val="en-GB"/>
                    </w:rPr>
                  </w:pPr>
                  <w:r w:rsidRPr="009B39EC">
                    <w:rPr>
                      <w:rFonts w:ascii="Arial" w:hAnsi="Arial" w:cs="Arial"/>
                      <w:lang w:val="en-GB"/>
                    </w:rPr>
                    <w:t>(75,290 EUR)</w:t>
                  </w:r>
                </w:p>
              </w:tc>
            </w:tr>
            <w:tr w:rsidR="00D4106A" w:rsidRPr="009B39EC" w14:paraId="0B1AD952" w14:textId="77777777" w:rsidTr="00D4106A">
              <w:trPr>
                <w:gridAfter w:val="1"/>
                <w:wAfter w:w="62" w:type="dxa"/>
              </w:trPr>
              <w:tc>
                <w:tcPr>
                  <w:tcW w:w="2804" w:type="dxa"/>
                  <w:tcBorders>
                    <w:bottom w:val="single" w:sz="4" w:space="0" w:color="auto"/>
                  </w:tcBorders>
                </w:tcPr>
                <w:p w14:paraId="2CDFB9C5" w14:textId="6B728170"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 “Vatra”</w:t>
                  </w:r>
                  <w:r w:rsidR="002752F6" w:rsidRPr="009B39EC">
                    <w:rPr>
                      <w:rFonts w:ascii="Arial" w:hAnsi="Arial" w:cs="Arial"/>
                      <w:lang w:val="en-GB"/>
                    </w:rPr>
                    <w:t xml:space="preserve"> </w:t>
                  </w:r>
                  <w:r w:rsidR="00694FCA" w:rsidRPr="009B39EC">
                    <w:rPr>
                      <w:rFonts w:ascii="Arial" w:hAnsi="Arial" w:cs="Arial"/>
                      <w:lang w:val="en-GB"/>
                    </w:rPr>
                    <w:t xml:space="preserve">(Hearth) </w:t>
                  </w:r>
                  <w:r w:rsidR="002752F6" w:rsidRPr="009B39EC">
                    <w:rPr>
                      <w:rFonts w:ascii="Arial" w:hAnsi="Arial" w:cs="Arial"/>
                      <w:lang w:val="en-GB"/>
                    </w:rPr>
                    <w:t>Center</w:t>
                  </w:r>
                  <w:r w:rsidRPr="009B39EC">
                    <w:rPr>
                      <w:rFonts w:ascii="Arial" w:hAnsi="Arial" w:cs="Arial"/>
                      <w:lang w:val="en-GB"/>
                    </w:rPr>
                    <w:t xml:space="preserve">, </w:t>
                  </w:r>
                  <w:r w:rsidR="00445CB5" w:rsidRPr="009B39EC">
                    <w:rPr>
                      <w:rFonts w:ascii="Arial" w:hAnsi="Arial" w:cs="Arial"/>
                      <w:lang w:val="en-GB"/>
                    </w:rPr>
                    <w:t>Vlora</w:t>
                  </w:r>
                </w:p>
              </w:tc>
              <w:tc>
                <w:tcPr>
                  <w:tcW w:w="1875" w:type="dxa"/>
                  <w:tcBorders>
                    <w:bottom w:val="single" w:sz="4" w:space="0" w:color="auto"/>
                  </w:tcBorders>
                </w:tcPr>
                <w:p w14:paraId="16E328DD" w14:textId="5BBDB6A7"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10,489,020 </w:t>
                  </w:r>
                  <w:r w:rsidR="002752F6" w:rsidRPr="009B39EC">
                    <w:rPr>
                      <w:rFonts w:ascii="Arial" w:hAnsi="Arial" w:cs="Arial"/>
                      <w:lang w:val="en-GB"/>
                    </w:rPr>
                    <w:t>ALL</w:t>
                  </w:r>
                </w:p>
                <w:p w14:paraId="1DE69395" w14:textId="65BD1E87" w:rsidR="00E1574C" w:rsidRPr="009B39EC" w:rsidRDefault="00E1574C" w:rsidP="00E1574C">
                  <w:pPr>
                    <w:pStyle w:val="FootnoteText"/>
                    <w:jc w:val="both"/>
                    <w:rPr>
                      <w:rFonts w:ascii="Arial" w:hAnsi="Arial" w:cs="Arial"/>
                      <w:lang w:val="en-GB"/>
                    </w:rPr>
                  </w:pPr>
                  <w:r w:rsidRPr="009B39EC">
                    <w:rPr>
                      <w:rFonts w:ascii="Arial" w:hAnsi="Arial" w:cs="Arial"/>
                      <w:lang w:val="en-GB"/>
                    </w:rPr>
                    <w:t>(87,409 EUR)</w:t>
                  </w:r>
                </w:p>
              </w:tc>
              <w:tc>
                <w:tcPr>
                  <w:tcW w:w="1890" w:type="dxa"/>
                  <w:tcBorders>
                    <w:bottom w:val="single" w:sz="4" w:space="0" w:color="auto"/>
                  </w:tcBorders>
                </w:tcPr>
                <w:p w14:paraId="38164AB1" w14:textId="7B181481"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10,729,920 </w:t>
                  </w:r>
                  <w:r w:rsidR="002752F6" w:rsidRPr="009B39EC">
                    <w:rPr>
                      <w:rFonts w:ascii="Arial" w:hAnsi="Arial" w:cs="Arial"/>
                      <w:lang w:val="en-GB"/>
                    </w:rPr>
                    <w:t>ALL</w:t>
                  </w:r>
                </w:p>
                <w:p w14:paraId="31B88CE0" w14:textId="1FE0B848" w:rsidR="00D4106A" w:rsidRPr="009B39EC" w:rsidRDefault="00D4106A" w:rsidP="00E1574C">
                  <w:pPr>
                    <w:pStyle w:val="FootnoteText"/>
                    <w:jc w:val="both"/>
                    <w:rPr>
                      <w:rFonts w:ascii="Arial" w:hAnsi="Arial" w:cs="Arial"/>
                      <w:lang w:val="en-GB"/>
                    </w:rPr>
                  </w:pPr>
                  <w:r w:rsidRPr="009B39EC">
                    <w:rPr>
                      <w:rFonts w:ascii="Arial" w:hAnsi="Arial" w:cs="Arial"/>
                      <w:lang w:val="en-GB"/>
                    </w:rPr>
                    <w:t>(89,416 EUR)</w:t>
                  </w:r>
                </w:p>
              </w:tc>
              <w:tc>
                <w:tcPr>
                  <w:tcW w:w="1800" w:type="dxa"/>
                  <w:tcBorders>
                    <w:bottom w:val="single" w:sz="4" w:space="0" w:color="auto"/>
                  </w:tcBorders>
                </w:tcPr>
                <w:p w14:paraId="59401E58" w14:textId="199F63CB"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11,283,364 </w:t>
                  </w:r>
                  <w:r w:rsidR="002752F6" w:rsidRPr="009B39EC">
                    <w:rPr>
                      <w:rFonts w:ascii="Arial" w:hAnsi="Arial" w:cs="Arial"/>
                      <w:lang w:val="en-GB"/>
                    </w:rPr>
                    <w:t>ALL</w:t>
                  </w:r>
                </w:p>
                <w:p w14:paraId="10014DBC" w14:textId="366D80C8" w:rsidR="00D4106A" w:rsidRPr="009B39EC" w:rsidRDefault="00D4106A" w:rsidP="00E1574C">
                  <w:pPr>
                    <w:pStyle w:val="FootnoteText"/>
                    <w:jc w:val="both"/>
                    <w:rPr>
                      <w:rFonts w:ascii="Arial" w:hAnsi="Arial" w:cs="Arial"/>
                      <w:lang w:val="en-GB"/>
                    </w:rPr>
                  </w:pPr>
                  <w:r w:rsidRPr="009B39EC">
                    <w:rPr>
                      <w:rFonts w:ascii="Arial" w:hAnsi="Arial" w:cs="Arial"/>
                      <w:lang w:val="en-GB"/>
                    </w:rPr>
                    <w:t>(94,028 EUR)</w:t>
                  </w:r>
                </w:p>
              </w:tc>
              <w:tc>
                <w:tcPr>
                  <w:tcW w:w="1800" w:type="dxa"/>
                  <w:tcBorders>
                    <w:bottom w:val="single" w:sz="4" w:space="0" w:color="auto"/>
                  </w:tcBorders>
                </w:tcPr>
                <w:p w14:paraId="305081C2" w14:textId="07EE7660"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11,283,364 </w:t>
                  </w:r>
                  <w:r w:rsidR="002752F6" w:rsidRPr="009B39EC">
                    <w:rPr>
                      <w:rFonts w:ascii="Arial" w:hAnsi="Arial" w:cs="Arial"/>
                      <w:lang w:val="en-GB"/>
                    </w:rPr>
                    <w:t>ALL</w:t>
                  </w:r>
                </w:p>
                <w:p w14:paraId="1D0FEF67" w14:textId="466FC253" w:rsidR="00D4106A" w:rsidRPr="009B39EC" w:rsidRDefault="00D4106A" w:rsidP="00E1574C">
                  <w:pPr>
                    <w:pStyle w:val="FootnoteText"/>
                    <w:jc w:val="both"/>
                    <w:rPr>
                      <w:rFonts w:ascii="Arial" w:hAnsi="Arial" w:cs="Arial"/>
                      <w:lang w:val="en-GB"/>
                    </w:rPr>
                  </w:pPr>
                  <w:r w:rsidRPr="009B39EC">
                    <w:rPr>
                      <w:rFonts w:ascii="Arial" w:hAnsi="Arial" w:cs="Arial"/>
                      <w:lang w:val="en-GB"/>
                    </w:rPr>
                    <w:t>(94,028 EUR)</w:t>
                  </w:r>
                </w:p>
              </w:tc>
              <w:tc>
                <w:tcPr>
                  <w:tcW w:w="1800" w:type="dxa"/>
                  <w:tcBorders>
                    <w:bottom w:val="single" w:sz="4" w:space="0" w:color="auto"/>
                  </w:tcBorders>
                </w:tcPr>
                <w:p w14:paraId="1320D741" w14:textId="4896E900" w:rsidR="00E1574C" w:rsidRPr="009B39EC" w:rsidRDefault="00E1574C" w:rsidP="00E1574C">
                  <w:pPr>
                    <w:pStyle w:val="FootnoteText"/>
                    <w:jc w:val="both"/>
                    <w:rPr>
                      <w:rFonts w:ascii="Arial" w:hAnsi="Arial" w:cs="Arial"/>
                      <w:lang w:val="en-GB"/>
                    </w:rPr>
                  </w:pPr>
                  <w:r w:rsidRPr="009B39EC">
                    <w:rPr>
                      <w:rFonts w:ascii="Arial" w:hAnsi="Arial" w:cs="Arial"/>
                      <w:lang w:val="en-GB"/>
                    </w:rPr>
                    <w:t xml:space="preserve">11,753,072 </w:t>
                  </w:r>
                  <w:r w:rsidR="002752F6" w:rsidRPr="009B39EC">
                    <w:rPr>
                      <w:rFonts w:ascii="Arial" w:hAnsi="Arial" w:cs="Arial"/>
                      <w:lang w:val="en-GB"/>
                    </w:rPr>
                    <w:t>ALL</w:t>
                  </w:r>
                </w:p>
                <w:p w14:paraId="07600E8D" w14:textId="3064EED9" w:rsidR="00E1574C" w:rsidRPr="009B39EC" w:rsidRDefault="00D4106A" w:rsidP="00E1574C">
                  <w:pPr>
                    <w:pStyle w:val="FootnoteText"/>
                    <w:jc w:val="both"/>
                    <w:rPr>
                      <w:rFonts w:ascii="Arial" w:hAnsi="Arial" w:cs="Arial"/>
                      <w:lang w:val="en-GB"/>
                    </w:rPr>
                  </w:pPr>
                  <w:r w:rsidRPr="009B39EC">
                    <w:rPr>
                      <w:rFonts w:ascii="Arial" w:hAnsi="Arial" w:cs="Arial"/>
                      <w:lang w:val="en-GB"/>
                    </w:rPr>
                    <w:t>(97,942 EUR)</w:t>
                  </w:r>
                </w:p>
              </w:tc>
            </w:tr>
            <w:tr w:rsidR="00D4106A" w:rsidRPr="009B39EC" w14:paraId="6A3A0772" w14:textId="77777777" w:rsidTr="00491D1F">
              <w:trPr>
                <w:gridAfter w:val="1"/>
                <w:wAfter w:w="62" w:type="dxa"/>
              </w:trPr>
              <w:tc>
                <w:tcPr>
                  <w:tcW w:w="11969" w:type="dxa"/>
                  <w:gridSpan w:val="6"/>
                  <w:tcBorders>
                    <w:top w:val="single" w:sz="4" w:space="0" w:color="auto"/>
                    <w:left w:val="nil"/>
                    <w:bottom w:val="nil"/>
                    <w:right w:val="nil"/>
                  </w:tcBorders>
                </w:tcPr>
                <w:p w14:paraId="42167B0C" w14:textId="77777777" w:rsidR="00D4106A" w:rsidRPr="009B39EC" w:rsidRDefault="00D4106A" w:rsidP="00E1574C">
                  <w:pPr>
                    <w:pStyle w:val="FootnoteText"/>
                    <w:jc w:val="both"/>
                    <w:rPr>
                      <w:rFonts w:ascii="Arial" w:hAnsi="Arial" w:cs="Arial"/>
                      <w:lang w:val="en-GB"/>
                    </w:rPr>
                  </w:pPr>
                </w:p>
                <w:p w14:paraId="737B580B" w14:textId="74142C9A" w:rsidR="00D4106A" w:rsidRPr="009B39EC" w:rsidRDefault="008E2714" w:rsidP="00731DD1">
                  <w:pPr>
                    <w:pStyle w:val="FootnoteText"/>
                    <w:jc w:val="both"/>
                    <w:rPr>
                      <w:rFonts w:ascii="Arial" w:hAnsi="Arial" w:cs="Arial"/>
                      <w:lang w:val="en-GB"/>
                    </w:rPr>
                  </w:pPr>
                  <w:r w:rsidRPr="009B39EC">
                    <w:rPr>
                      <w:rFonts w:ascii="Arial" w:hAnsi="Arial" w:cs="Arial"/>
                      <w:lang w:val="en-GB"/>
                    </w:rPr>
                    <w:t xml:space="preserve">As of 2018, </w:t>
                  </w:r>
                  <w:r w:rsidRPr="009B39EC">
                    <w:rPr>
                      <w:rFonts w:ascii="Arial" w:hAnsi="Arial" w:cs="Arial"/>
                      <w:b/>
                      <w:bCs/>
                      <w:lang w:val="en-GB"/>
                    </w:rPr>
                    <w:t xml:space="preserve">the Municipality </w:t>
                  </w:r>
                  <w:r w:rsidR="003B1992" w:rsidRPr="009B39EC">
                    <w:rPr>
                      <w:rFonts w:ascii="Arial" w:hAnsi="Arial" w:cs="Arial"/>
                      <w:b/>
                      <w:bCs/>
                      <w:lang w:val="en-GB"/>
                    </w:rPr>
                    <w:t>of Tirana</w:t>
                  </w:r>
                  <w:r w:rsidR="003B1992" w:rsidRPr="009B39EC">
                    <w:rPr>
                      <w:rFonts w:ascii="Arial" w:hAnsi="Arial" w:cs="Arial"/>
                      <w:lang w:val="en-GB"/>
                    </w:rPr>
                    <w:t xml:space="preserve"> </w:t>
                  </w:r>
                  <w:r w:rsidRPr="009B39EC">
                    <w:rPr>
                      <w:rFonts w:ascii="Arial" w:hAnsi="Arial" w:cs="Arial"/>
                      <w:lang w:val="en-GB"/>
                    </w:rPr>
                    <w:t>has been supporting the Counselling Line for Women and Girls (</w:t>
                  </w:r>
                  <w:r w:rsidR="00651347" w:rsidRPr="009B39EC">
                    <w:rPr>
                      <w:rFonts w:ascii="Arial" w:hAnsi="Arial" w:cs="Arial"/>
                      <w:lang w:val="en-GB"/>
                    </w:rPr>
                    <w:t xml:space="preserve">CLWG 116 117 - </w:t>
                  </w:r>
                  <w:r w:rsidRPr="009B39EC">
                    <w:rPr>
                      <w:rFonts w:ascii="Arial" w:hAnsi="Arial" w:cs="Arial"/>
                      <w:lang w:val="en-GB"/>
                    </w:rPr>
                    <w:t xml:space="preserve">a national telephone line service managed by an NPO) in the sum of </w:t>
                  </w:r>
                  <w:r w:rsidR="00D4106A" w:rsidRPr="009B39EC">
                    <w:rPr>
                      <w:rFonts w:ascii="Arial" w:hAnsi="Arial" w:cs="Arial"/>
                      <w:lang w:val="en-GB"/>
                    </w:rPr>
                    <w:t xml:space="preserve">474,000 </w:t>
                  </w:r>
                  <w:r w:rsidR="002752F6" w:rsidRPr="009B39EC">
                    <w:rPr>
                      <w:rFonts w:ascii="Arial" w:hAnsi="Arial" w:cs="Arial"/>
                      <w:lang w:val="en-GB"/>
                    </w:rPr>
                    <w:t>ALL</w:t>
                  </w:r>
                  <w:r w:rsidR="00D4106A" w:rsidRPr="009B39EC">
                    <w:rPr>
                      <w:rFonts w:ascii="Arial" w:hAnsi="Arial" w:cs="Arial"/>
                      <w:lang w:val="en-GB"/>
                    </w:rPr>
                    <w:t xml:space="preserve">. </w:t>
                  </w:r>
                  <w:r w:rsidRPr="009B39EC">
                    <w:rPr>
                      <w:rFonts w:ascii="Arial" w:hAnsi="Arial" w:cs="Arial"/>
                      <w:lang w:val="en-GB"/>
                    </w:rPr>
                    <w:t xml:space="preserve">During </w:t>
                  </w:r>
                  <w:r w:rsidR="00D4106A" w:rsidRPr="009B39EC">
                    <w:rPr>
                      <w:rFonts w:ascii="Arial" w:hAnsi="Arial" w:cs="Arial"/>
                      <w:lang w:val="en-GB"/>
                    </w:rPr>
                    <w:t xml:space="preserve">2020, </w:t>
                  </w:r>
                  <w:proofErr w:type="gramStart"/>
                  <w:r w:rsidR="003B1992" w:rsidRPr="009B39EC">
                    <w:rPr>
                      <w:rFonts w:ascii="Arial" w:hAnsi="Arial" w:cs="Arial"/>
                      <w:lang w:val="en-GB"/>
                    </w:rPr>
                    <w:t>as a result of</w:t>
                  </w:r>
                  <w:proofErr w:type="gramEnd"/>
                  <w:r w:rsidR="003B1992" w:rsidRPr="009B39EC">
                    <w:rPr>
                      <w:rFonts w:ascii="Arial" w:hAnsi="Arial" w:cs="Arial"/>
                      <w:lang w:val="en-GB"/>
                    </w:rPr>
                    <w:t xml:space="preserve"> </w:t>
                  </w:r>
                  <w:r w:rsidRPr="009B39EC">
                    <w:rPr>
                      <w:rFonts w:ascii="Arial" w:hAnsi="Arial" w:cs="Arial"/>
                      <w:lang w:val="en-GB"/>
                    </w:rPr>
                    <w:t xml:space="preserve">the situation caused by the COVID-19 pandemic, an extra </w:t>
                  </w:r>
                  <w:r w:rsidR="00D4106A" w:rsidRPr="009B39EC">
                    <w:rPr>
                      <w:rFonts w:ascii="Arial" w:hAnsi="Arial" w:cs="Arial"/>
                      <w:lang w:val="en-GB"/>
                    </w:rPr>
                    <w:t>922,725</w:t>
                  </w:r>
                  <w:r w:rsidR="00731DD1" w:rsidRPr="009B39EC">
                    <w:rPr>
                      <w:rFonts w:ascii="Arial" w:hAnsi="Arial" w:cs="Arial"/>
                      <w:lang w:val="en-GB"/>
                    </w:rPr>
                    <w:t xml:space="preserve"> </w:t>
                  </w:r>
                  <w:r w:rsidR="002752F6" w:rsidRPr="009B39EC">
                    <w:rPr>
                      <w:rFonts w:ascii="Arial" w:hAnsi="Arial" w:cs="Arial"/>
                      <w:lang w:val="en-GB"/>
                    </w:rPr>
                    <w:t>ALL</w:t>
                  </w:r>
                  <w:r w:rsidRPr="009B39EC">
                    <w:rPr>
                      <w:rFonts w:ascii="Arial" w:hAnsi="Arial" w:cs="Arial"/>
                      <w:lang w:val="en-GB"/>
                    </w:rPr>
                    <w:t xml:space="preserve"> w</w:t>
                  </w:r>
                  <w:r w:rsidR="003B1992" w:rsidRPr="009B39EC">
                    <w:rPr>
                      <w:rFonts w:ascii="Arial" w:hAnsi="Arial" w:cs="Arial"/>
                      <w:lang w:val="en-GB"/>
                    </w:rPr>
                    <w:t>as</w:t>
                  </w:r>
                  <w:r w:rsidRPr="009B39EC">
                    <w:rPr>
                      <w:rFonts w:ascii="Arial" w:hAnsi="Arial" w:cs="Arial"/>
                      <w:lang w:val="en-GB"/>
                    </w:rPr>
                    <w:t xml:space="preserve"> allocated </w:t>
                  </w:r>
                  <w:r w:rsidR="003B1992" w:rsidRPr="009B39EC">
                    <w:rPr>
                      <w:rFonts w:ascii="Arial" w:hAnsi="Arial" w:cs="Arial"/>
                      <w:lang w:val="en-GB"/>
                    </w:rPr>
                    <w:t>based on</w:t>
                  </w:r>
                  <w:r w:rsidRPr="009B39EC">
                    <w:rPr>
                      <w:rFonts w:ascii="Arial" w:hAnsi="Arial" w:cs="Arial"/>
                      <w:lang w:val="en-GB"/>
                    </w:rPr>
                    <w:t xml:space="preserve"> a special agreement </w:t>
                  </w:r>
                  <w:r w:rsidR="00651347" w:rsidRPr="009B39EC">
                    <w:rPr>
                      <w:rFonts w:ascii="Arial" w:hAnsi="Arial" w:cs="Arial"/>
                      <w:lang w:val="en-GB"/>
                    </w:rPr>
                    <w:t xml:space="preserve">signed between the Municipality of Tirana and the </w:t>
                  </w:r>
                  <w:proofErr w:type="spellStart"/>
                  <w:r w:rsidR="00651347" w:rsidRPr="009B39EC">
                    <w:rPr>
                      <w:rFonts w:ascii="Arial" w:hAnsi="Arial" w:cs="Arial"/>
                      <w:lang w:val="en-GB"/>
                    </w:rPr>
                    <w:t>Counseling</w:t>
                  </w:r>
                  <w:proofErr w:type="spellEnd"/>
                  <w:r w:rsidR="00651347" w:rsidRPr="009B39EC">
                    <w:rPr>
                      <w:rFonts w:ascii="Arial" w:hAnsi="Arial" w:cs="Arial"/>
                      <w:lang w:val="en-GB"/>
                    </w:rPr>
                    <w:t xml:space="preserve"> Line for Women and Girls, for the Strengthening of the </w:t>
                  </w:r>
                  <w:proofErr w:type="spellStart"/>
                  <w:r w:rsidR="00651347" w:rsidRPr="009B39EC">
                    <w:rPr>
                      <w:rFonts w:ascii="Arial" w:hAnsi="Arial" w:cs="Arial"/>
                      <w:lang w:val="en-GB"/>
                    </w:rPr>
                    <w:t>Counseling</w:t>
                  </w:r>
                  <w:proofErr w:type="spellEnd"/>
                  <w:r w:rsidR="00651347" w:rsidRPr="009B39EC">
                    <w:rPr>
                      <w:rFonts w:ascii="Arial" w:hAnsi="Arial" w:cs="Arial"/>
                      <w:lang w:val="en-GB"/>
                    </w:rPr>
                    <w:t xml:space="preserve"> Line for Women and Girls and the </w:t>
                  </w:r>
                  <w:proofErr w:type="spellStart"/>
                  <w:r w:rsidR="00651347" w:rsidRPr="009B39EC">
                    <w:rPr>
                      <w:rFonts w:ascii="Arial" w:hAnsi="Arial" w:cs="Arial"/>
                      <w:lang w:val="en-GB"/>
                    </w:rPr>
                    <w:t>Counseling</w:t>
                  </w:r>
                  <w:proofErr w:type="spellEnd"/>
                  <w:r w:rsidR="00651347" w:rsidRPr="009B39EC">
                    <w:rPr>
                      <w:rFonts w:ascii="Arial" w:hAnsi="Arial" w:cs="Arial"/>
                      <w:lang w:val="en-GB"/>
                    </w:rPr>
                    <w:t xml:space="preserve"> Line for Men and Boys </w:t>
                  </w:r>
                  <w:r w:rsidRPr="009B39EC">
                    <w:rPr>
                      <w:rFonts w:ascii="Arial" w:hAnsi="Arial" w:cs="Arial"/>
                      <w:lang w:val="en-GB"/>
                    </w:rPr>
                    <w:t>in support of victims of domestic violence</w:t>
                  </w:r>
                  <w:r w:rsidR="00731DD1" w:rsidRPr="009B39EC">
                    <w:rPr>
                      <w:rFonts w:ascii="Arial" w:hAnsi="Arial" w:cs="Arial"/>
                      <w:lang w:val="en-GB"/>
                    </w:rPr>
                    <w:t>.</w:t>
                  </w:r>
                  <w:r w:rsidR="00651347" w:rsidRPr="009B39EC">
                    <w:rPr>
                      <w:rFonts w:ascii="Arial" w:hAnsi="Arial" w:cs="Arial"/>
                    </w:rPr>
                    <w:t xml:space="preserve"> </w:t>
                  </w:r>
                  <w:r w:rsidR="00651347" w:rsidRPr="009B39EC">
                    <w:rPr>
                      <w:rFonts w:ascii="Arial" w:hAnsi="Arial" w:cs="Arial"/>
                      <w:lang w:val="en-GB"/>
                    </w:rPr>
                    <w:t>The Municipality of Tirana has been financially supporting the ARSIS Initiative for years, which also offers emergency shelter for up to 7 days for categories in need, including women and girls who have been abused in family relation</w:t>
                  </w:r>
                  <w:r w:rsidR="009E515B" w:rsidRPr="009B39EC">
                    <w:rPr>
                      <w:rFonts w:ascii="Arial" w:hAnsi="Arial" w:cs="Arial"/>
                      <w:lang w:val="en-GB"/>
                    </w:rPr>
                    <w:t>s</w:t>
                  </w:r>
                  <w:r w:rsidR="00651347" w:rsidRPr="009B39EC">
                    <w:rPr>
                      <w:rFonts w:ascii="Arial" w:hAnsi="Arial" w:cs="Arial"/>
                      <w:lang w:val="en-GB"/>
                    </w:rPr>
                    <w:t>.</w:t>
                  </w:r>
                  <w:r w:rsidR="009E515B" w:rsidRPr="009B39EC">
                    <w:rPr>
                      <w:rFonts w:ascii="Arial" w:hAnsi="Arial" w:cs="Arial"/>
                    </w:rPr>
                    <w:t xml:space="preserve"> </w:t>
                  </w:r>
                  <w:r w:rsidR="009E515B" w:rsidRPr="009B39EC">
                    <w:rPr>
                      <w:rFonts w:ascii="Arial" w:hAnsi="Arial" w:cs="Arial"/>
                      <w:lang w:val="en-GB"/>
                    </w:rPr>
                    <w:t xml:space="preserve">The Municipality of Tirana has been cooperating for years (including the period 2018-2021) with the organization "Different &amp; Equal" </w:t>
                  </w:r>
                  <w:r w:rsidR="00735F08" w:rsidRPr="009B39EC">
                    <w:rPr>
                      <w:rFonts w:ascii="Arial" w:hAnsi="Arial" w:cs="Arial"/>
                      <w:lang w:val="en-GB"/>
                    </w:rPr>
                    <w:t>to</w:t>
                  </w:r>
                  <w:r w:rsidR="009E515B" w:rsidRPr="009B39EC">
                    <w:rPr>
                      <w:rFonts w:ascii="Arial" w:hAnsi="Arial" w:cs="Arial"/>
                      <w:lang w:val="en-GB"/>
                    </w:rPr>
                    <w:t xml:space="preserve"> care for the children of abused mothers or former victims of trafficking (care provided in the morning and afternoon).</w:t>
                  </w:r>
                  <w:r w:rsidR="009E515B" w:rsidRPr="009B39EC">
                    <w:rPr>
                      <w:rFonts w:ascii="Arial" w:hAnsi="Arial" w:cs="Arial"/>
                    </w:rPr>
                    <w:t xml:space="preserve"> </w:t>
                  </w:r>
                  <w:r w:rsidR="009E515B" w:rsidRPr="009B39EC">
                    <w:rPr>
                      <w:rFonts w:ascii="Arial" w:hAnsi="Arial" w:cs="Arial"/>
                      <w:lang w:val="en-GB"/>
                    </w:rPr>
                    <w:t>This childcare program contributes to the integration of victims of domestic violence and victims of trafficking in human beings through their employment. The Municipality of Tirana has made available to the organization a part of the facilities of the “</w:t>
                  </w:r>
                  <w:proofErr w:type="spellStart"/>
                  <w:r w:rsidR="009E515B" w:rsidRPr="009B39EC">
                    <w:rPr>
                      <w:rFonts w:ascii="Arial" w:hAnsi="Arial" w:cs="Arial"/>
                      <w:lang w:val="en-GB"/>
                    </w:rPr>
                    <w:t>Shkozë</w:t>
                  </w:r>
                  <w:proofErr w:type="spellEnd"/>
                  <w:r w:rsidR="009E515B" w:rsidRPr="009B39EC">
                    <w:rPr>
                      <w:rFonts w:ascii="Arial" w:hAnsi="Arial" w:cs="Arial"/>
                      <w:lang w:val="en-GB"/>
                    </w:rPr>
                    <w:t xml:space="preserve"> e Re” Kindergarten where children stay after returning from kindergarten or on Saturdays, while their parents are at work. During the stay, the children are fed, are under care and assisted by staff to complete their homework.</w:t>
                  </w:r>
                </w:p>
                <w:p w14:paraId="0920630A" w14:textId="3A8431E7" w:rsidR="00F46220" w:rsidRPr="009B39EC" w:rsidRDefault="00F46220" w:rsidP="00731DD1">
                  <w:pPr>
                    <w:pStyle w:val="FootnoteText"/>
                    <w:jc w:val="both"/>
                    <w:rPr>
                      <w:rFonts w:ascii="Arial" w:hAnsi="Arial" w:cs="Arial"/>
                      <w:lang w:val="en-GB"/>
                    </w:rPr>
                  </w:pPr>
                </w:p>
                <w:p w14:paraId="7C7B3864" w14:textId="40EE263C" w:rsidR="00F46220" w:rsidRPr="009B39EC" w:rsidRDefault="00F46220" w:rsidP="00731DD1">
                  <w:pPr>
                    <w:pStyle w:val="FootnoteText"/>
                    <w:jc w:val="both"/>
                    <w:rPr>
                      <w:rFonts w:ascii="Arial" w:hAnsi="Arial" w:cs="Arial"/>
                      <w:lang w:val="en-GB"/>
                    </w:rPr>
                  </w:pPr>
                  <w:r w:rsidRPr="009B39EC">
                    <w:rPr>
                      <w:rFonts w:ascii="Arial" w:hAnsi="Arial" w:cs="Arial"/>
                      <w:lang w:val="en-GB"/>
                    </w:rPr>
                    <w:t xml:space="preserve">Also, from 2019 the </w:t>
                  </w:r>
                  <w:proofErr w:type="spellStart"/>
                  <w:r w:rsidRPr="009B39EC">
                    <w:rPr>
                      <w:rFonts w:ascii="Arial" w:hAnsi="Arial" w:cs="Arial"/>
                      <w:lang w:val="en-GB"/>
                    </w:rPr>
                    <w:t>Counseling</w:t>
                  </w:r>
                  <w:proofErr w:type="spellEnd"/>
                  <w:r w:rsidRPr="009B39EC">
                    <w:rPr>
                      <w:rFonts w:ascii="Arial" w:hAnsi="Arial" w:cs="Arial"/>
                      <w:lang w:val="en-GB"/>
                    </w:rPr>
                    <w:t xml:space="preserve"> Line for Women and Girls (116 117) has been financed by MHSP in the amount of 2,926,125 ALL for 9 months of salary and social insurance for 5 employees;</w:t>
                  </w:r>
                  <w:r w:rsidRPr="009B39EC">
                    <w:rPr>
                      <w:rFonts w:ascii="Arial" w:hAnsi="Arial" w:cs="Arial"/>
                    </w:rPr>
                    <w:t xml:space="preserve"> </w:t>
                  </w:r>
                  <w:r w:rsidRPr="009B39EC">
                    <w:rPr>
                      <w:rFonts w:ascii="Arial" w:hAnsi="Arial" w:cs="Arial"/>
                      <w:lang w:val="en-GB"/>
                    </w:rPr>
                    <w:t>in 2020 in the amount of 3,901,500 ALL; while for 2021 it has been approved and financed for salaries and social insurance for 8 employees in the amount of 6,768,552 ALL.</w:t>
                  </w:r>
                  <w:r w:rsidR="00735F08" w:rsidRPr="009B39EC">
                    <w:rPr>
                      <w:rFonts w:ascii="Arial" w:hAnsi="Arial" w:cs="Arial"/>
                    </w:rPr>
                    <w:t xml:space="preserve"> </w:t>
                  </w:r>
                  <w:r w:rsidR="00735F08" w:rsidRPr="009B39EC">
                    <w:rPr>
                      <w:rFonts w:ascii="Arial" w:hAnsi="Arial" w:cs="Arial"/>
                      <w:lang w:val="en-GB"/>
                    </w:rPr>
                    <w:t>This financing is done within the Social Fund for specialized services in the regions.</w:t>
                  </w:r>
                  <w:r w:rsidR="00735F08" w:rsidRPr="009B39EC">
                    <w:rPr>
                      <w:rFonts w:ascii="Arial" w:hAnsi="Arial" w:cs="Arial"/>
                    </w:rPr>
                    <w:t xml:space="preserve"> </w:t>
                  </w:r>
                  <w:r w:rsidR="00735F08" w:rsidRPr="009B39EC">
                    <w:rPr>
                      <w:rFonts w:ascii="Arial" w:hAnsi="Arial" w:cs="Arial"/>
                      <w:lang w:val="en-GB"/>
                    </w:rPr>
                    <w:t xml:space="preserve">Pursuant to </w:t>
                  </w:r>
                  <w:proofErr w:type="spellStart"/>
                  <w:r w:rsidR="00735F08" w:rsidRPr="009B39EC">
                    <w:rPr>
                      <w:rFonts w:ascii="Arial" w:hAnsi="Arial" w:cs="Arial"/>
                      <w:lang w:val="en-GB"/>
                    </w:rPr>
                    <w:t>DCoM</w:t>
                  </w:r>
                  <w:proofErr w:type="spellEnd"/>
                  <w:r w:rsidR="00735F08" w:rsidRPr="009B39EC">
                    <w:rPr>
                      <w:rFonts w:ascii="Arial" w:hAnsi="Arial" w:cs="Arial"/>
                      <w:lang w:val="en-GB"/>
                    </w:rPr>
                    <w:t xml:space="preserve"> 150/2019, point 2) - “The process of implementation of financing procedures from the state budget of social care services, at local level, will be carried out both in the framework of the Social Fund and other transfers, including the financing of specialized and unique services provided by local self-government units at the county level, as well as national hotlines for women and children, which have cooperation agreements with the ministry responsible for social affairs...</w:t>
                  </w:r>
                  <w:r w:rsidR="00735F08" w:rsidRPr="009B39EC">
                    <w:rPr>
                      <w:rFonts w:ascii="Arial" w:hAnsi="Arial" w:cs="Arial"/>
                    </w:rPr>
                    <w:t xml:space="preserve"> </w:t>
                  </w:r>
                  <w:r w:rsidR="00735F08" w:rsidRPr="009B39EC">
                    <w:rPr>
                      <w:rFonts w:ascii="Arial" w:hAnsi="Arial" w:cs="Arial"/>
                      <w:lang w:val="en-GB"/>
                    </w:rPr>
                    <w:t xml:space="preserve">Point 30) - ... «Exception from the rule defined in points 28 and 29 of this decision, are the national social care </w:t>
                  </w:r>
                  <w:proofErr w:type="spellStart"/>
                  <w:r w:rsidR="00735F08" w:rsidRPr="009B39EC">
                    <w:rPr>
                      <w:rFonts w:ascii="Arial" w:hAnsi="Arial" w:cs="Arial"/>
                      <w:lang w:val="en-GB"/>
                    </w:rPr>
                    <w:t>centers</w:t>
                  </w:r>
                  <w:proofErr w:type="spellEnd"/>
                  <w:r w:rsidR="00735F08" w:rsidRPr="009B39EC">
                    <w:rPr>
                      <w:rFonts w:ascii="Arial" w:hAnsi="Arial" w:cs="Arial"/>
                      <w:lang w:val="en-GB"/>
                    </w:rPr>
                    <w:t xml:space="preserve">, the </w:t>
                  </w:r>
                  <w:proofErr w:type="spellStart"/>
                  <w:r w:rsidR="00735F08" w:rsidRPr="009B39EC">
                    <w:rPr>
                      <w:rFonts w:ascii="Arial" w:hAnsi="Arial" w:cs="Arial"/>
                      <w:lang w:val="en-GB"/>
                    </w:rPr>
                    <w:t>centers</w:t>
                  </w:r>
                  <w:proofErr w:type="spellEnd"/>
                  <w:r w:rsidR="00735F08" w:rsidRPr="009B39EC">
                    <w:rPr>
                      <w:rFonts w:ascii="Arial" w:hAnsi="Arial" w:cs="Arial"/>
                      <w:lang w:val="en-GB"/>
                    </w:rPr>
                    <w:t xml:space="preserve"> that provide specialized and unique services, at the county level, and the national </w:t>
                  </w:r>
                  <w:r w:rsidR="009D6E18" w:rsidRPr="009B39EC">
                    <w:rPr>
                      <w:rFonts w:ascii="Arial" w:hAnsi="Arial" w:cs="Arial"/>
                      <w:lang w:val="en-GB"/>
                    </w:rPr>
                    <w:t>hotlines</w:t>
                  </w:r>
                  <w:r w:rsidR="00735F08" w:rsidRPr="009B39EC">
                    <w:rPr>
                      <w:rFonts w:ascii="Arial" w:hAnsi="Arial" w:cs="Arial"/>
                      <w:lang w:val="en-GB"/>
                    </w:rPr>
                    <w:t xml:space="preserve"> for women and children, who have cooperation / agreements with the ministry responsible for social affairs.</w:t>
                  </w:r>
                </w:p>
                <w:p w14:paraId="35B1348E" w14:textId="117EF910" w:rsidR="00252A57" w:rsidRPr="009B39EC" w:rsidRDefault="00252A57" w:rsidP="00E1574C">
                  <w:pPr>
                    <w:pStyle w:val="FootnoteText"/>
                    <w:jc w:val="both"/>
                    <w:rPr>
                      <w:rFonts w:ascii="Arial" w:hAnsi="Arial" w:cs="Arial"/>
                      <w:lang w:val="en-GB"/>
                    </w:rPr>
                  </w:pPr>
                </w:p>
              </w:tc>
            </w:tr>
          </w:tbl>
          <w:p w14:paraId="279AAB5C" w14:textId="142AECE2" w:rsidR="00114995" w:rsidRPr="009B39EC" w:rsidRDefault="00114995" w:rsidP="00DC5A7D">
            <w:pPr>
              <w:jc w:val="both"/>
              <w:rPr>
                <w:rFonts w:ascii="Arial" w:hAnsi="Arial" w:cs="Arial"/>
                <w:sz w:val="20"/>
                <w:szCs w:val="20"/>
                <w:lang w:val="en-GB"/>
              </w:rPr>
            </w:pPr>
          </w:p>
        </w:tc>
      </w:tr>
      <w:tr w:rsidR="00DC5A7D" w:rsidRPr="009B39EC" w14:paraId="554DBEB3" w14:textId="77777777" w:rsidTr="004860C4">
        <w:tc>
          <w:tcPr>
            <w:tcW w:w="216" w:type="pct"/>
          </w:tcPr>
          <w:p w14:paraId="415E2749"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lastRenderedPageBreak/>
              <w:t>14.2</w:t>
            </w:r>
          </w:p>
        </w:tc>
        <w:tc>
          <w:tcPr>
            <w:tcW w:w="4784" w:type="pct"/>
            <w:gridSpan w:val="3"/>
          </w:tcPr>
          <w:p w14:paraId="7AC2E4E0" w14:textId="00F44355" w:rsidR="004860C4" w:rsidRPr="009B39EC" w:rsidRDefault="004056CA" w:rsidP="004860C4">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4860C4" w:rsidRPr="009B39EC">
              <w:rPr>
                <w:rFonts w:ascii="Arial" w:hAnsi="Arial" w:cs="Arial"/>
                <w:sz w:val="20"/>
                <w:szCs w:val="20"/>
                <w:lang w:val="en-GB"/>
              </w:rPr>
              <w:t>:</w:t>
            </w:r>
          </w:p>
          <w:p w14:paraId="68F9E186" w14:textId="77777777" w:rsidR="00DC5A7D" w:rsidRPr="009B39EC" w:rsidRDefault="00DC5A7D" w:rsidP="00DC5A7D">
            <w:pPr>
              <w:jc w:val="both"/>
              <w:rPr>
                <w:rFonts w:ascii="Arial" w:hAnsi="Arial" w:cs="Arial"/>
                <w:sz w:val="20"/>
                <w:szCs w:val="20"/>
                <w:lang w:val="en-GB"/>
              </w:rPr>
            </w:pPr>
          </w:p>
        </w:tc>
      </w:tr>
      <w:tr w:rsidR="00DC5A7D" w:rsidRPr="009B39EC" w14:paraId="50B737BE" w14:textId="77777777" w:rsidTr="004860C4">
        <w:tc>
          <w:tcPr>
            <w:tcW w:w="216" w:type="pct"/>
          </w:tcPr>
          <w:p w14:paraId="2299BDE2" w14:textId="77777777" w:rsidR="00DC5A7D" w:rsidRPr="009B39EC" w:rsidRDefault="00DC5A7D" w:rsidP="00DC5A7D">
            <w:pPr>
              <w:jc w:val="both"/>
              <w:rPr>
                <w:rFonts w:ascii="Arial" w:hAnsi="Arial" w:cs="Arial"/>
                <w:sz w:val="20"/>
                <w:szCs w:val="20"/>
                <w:lang w:val="en-GB"/>
              </w:rPr>
            </w:pPr>
            <w:r w:rsidRPr="009B39EC">
              <w:rPr>
                <w:rFonts w:ascii="Arial" w:hAnsi="Arial" w:cs="Arial"/>
                <w:sz w:val="20"/>
                <w:szCs w:val="20"/>
                <w:lang w:val="en-GB"/>
              </w:rPr>
              <w:lastRenderedPageBreak/>
              <w:t>15</w:t>
            </w:r>
          </w:p>
        </w:tc>
        <w:tc>
          <w:tcPr>
            <w:tcW w:w="4784" w:type="pct"/>
            <w:gridSpan w:val="3"/>
          </w:tcPr>
          <w:p w14:paraId="3EF29751" w14:textId="25211AF6" w:rsidR="00DC5A7D" w:rsidRPr="009B39EC" w:rsidRDefault="00047815" w:rsidP="00DC5A7D">
            <w:pPr>
              <w:jc w:val="both"/>
              <w:rPr>
                <w:rFonts w:ascii="Arial" w:hAnsi="Arial" w:cs="Arial"/>
                <w:sz w:val="20"/>
                <w:szCs w:val="20"/>
                <w:lang w:val="en-GB"/>
              </w:rPr>
            </w:pPr>
            <w:r w:rsidRPr="009B39EC">
              <w:rPr>
                <w:rFonts w:ascii="Arial" w:hAnsi="Arial" w:cs="Arial"/>
                <w:sz w:val="20"/>
                <w:szCs w:val="20"/>
                <w:lang w:val="en-GB"/>
              </w:rPr>
              <w:t>In case your authorities have taken further measures contributing to the implementation of recommendations in relation to Article 8, which were not covered by the questions above, please report on these measures [word limit: 1000 words]</w:t>
            </w:r>
            <w:r w:rsidR="00887BAB" w:rsidRPr="009B39EC">
              <w:rPr>
                <w:rFonts w:ascii="Arial" w:hAnsi="Arial" w:cs="Arial"/>
                <w:sz w:val="20"/>
                <w:szCs w:val="20"/>
                <w:lang w:val="en-GB"/>
              </w:rPr>
              <w:t>:</w:t>
            </w:r>
          </w:p>
          <w:p w14:paraId="56760857" w14:textId="77777777" w:rsidR="007F45A4" w:rsidRPr="009B39EC" w:rsidRDefault="007F45A4" w:rsidP="00DC5A7D">
            <w:pPr>
              <w:jc w:val="both"/>
              <w:rPr>
                <w:rFonts w:ascii="Arial" w:hAnsi="Arial" w:cs="Arial"/>
                <w:sz w:val="20"/>
                <w:szCs w:val="20"/>
                <w:lang w:val="en-GB"/>
              </w:rPr>
            </w:pPr>
          </w:p>
          <w:p w14:paraId="6A3A8F68" w14:textId="77777777" w:rsidR="007F45A4" w:rsidRDefault="008E2714" w:rsidP="00DC5A7D">
            <w:pPr>
              <w:jc w:val="both"/>
              <w:rPr>
                <w:rFonts w:ascii="Arial" w:hAnsi="Arial" w:cs="Arial"/>
                <w:sz w:val="20"/>
                <w:szCs w:val="20"/>
                <w:lang w:val="en-GB"/>
              </w:rPr>
            </w:pPr>
            <w:r w:rsidRPr="009B39EC">
              <w:rPr>
                <w:rFonts w:ascii="Arial" w:hAnsi="Arial" w:cs="Arial"/>
                <w:sz w:val="20"/>
                <w:szCs w:val="20"/>
                <w:lang w:val="en-GB"/>
              </w:rPr>
              <w:t xml:space="preserve">In the context of the preparation of the </w:t>
            </w:r>
            <w:r w:rsidR="003B1992" w:rsidRPr="009B39EC">
              <w:rPr>
                <w:rFonts w:ascii="Arial" w:hAnsi="Arial" w:cs="Arial"/>
                <w:sz w:val="20"/>
                <w:szCs w:val="20"/>
                <w:lang w:val="en-GB"/>
              </w:rPr>
              <w:t xml:space="preserve">2021-2030 </w:t>
            </w:r>
            <w:r w:rsidRPr="009B39EC">
              <w:rPr>
                <w:rFonts w:ascii="Arial" w:hAnsi="Arial" w:cs="Arial"/>
                <w:sz w:val="20"/>
                <w:szCs w:val="20"/>
                <w:lang w:val="en-GB"/>
              </w:rPr>
              <w:t>National Strategy on Gender Equality</w:t>
            </w:r>
            <w:r w:rsidR="007F45A4" w:rsidRPr="009B39EC">
              <w:rPr>
                <w:rFonts w:ascii="Arial" w:hAnsi="Arial" w:cs="Arial"/>
                <w:sz w:val="20"/>
                <w:szCs w:val="20"/>
                <w:lang w:val="en-GB"/>
              </w:rPr>
              <w:t xml:space="preserve">, </w:t>
            </w:r>
            <w:r w:rsidRPr="009B39EC">
              <w:rPr>
                <w:rFonts w:ascii="Arial" w:hAnsi="Arial" w:cs="Arial"/>
                <w:sz w:val="20"/>
                <w:szCs w:val="20"/>
                <w:lang w:val="en-GB"/>
              </w:rPr>
              <w:t xml:space="preserve">the </w:t>
            </w:r>
            <w:r w:rsidR="005E41D5" w:rsidRPr="009B39EC">
              <w:rPr>
                <w:rFonts w:ascii="Arial" w:hAnsi="Arial" w:cs="Arial"/>
                <w:sz w:val="20"/>
                <w:szCs w:val="20"/>
                <w:lang w:val="en-GB"/>
              </w:rPr>
              <w:t xml:space="preserve">breakdown of the costs for the implementation </w:t>
            </w:r>
            <w:r w:rsidRPr="009B39EC">
              <w:rPr>
                <w:rFonts w:ascii="Arial" w:hAnsi="Arial" w:cs="Arial"/>
                <w:sz w:val="20"/>
                <w:szCs w:val="20"/>
                <w:lang w:val="en-GB"/>
              </w:rPr>
              <w:t xml:space="preserve">of the </w:t>
            </w:r>
            <w:r w:rsidR="005E41D5" w:rsidRPr="009B39EC">
              <w:rPr>
                <w:rFonts w:ascii="Arial" w:hAnsi="Arial" w:cs="Arial"/>
                <w:sz w:val="20"/>
                <w:szCs w:val="20"/>
                <w:lang w:val="en-GB"/>
              </w:rPr>
              <w:t xml:space="preserve">Strategy and its </w:t>
            </w:r>
            <w:r w:rsidRPr="009B39EC">
              <w:rPr>
                <w:rFonts w:ascii="Arial" w:hAnsi="Arial" w:cs="Arial"/>
                <w:sz w:val="20"/>
                <w:szCs w:val="20"/>
                <w:lang w:val="en-GB"/>
              </w:rPr>
              <w:t xml:space="preserve">Action Plan </w:t>
            </w:r>
            <w:r w:rsidR="005E41D5" w:rsidRPr="009B39EC">
              <w:rPr>
                <w:rFonts w:ascii="Arial" w:hAnsi="Arial" w:cs="Arial"/>
                <w:sz w:val="20"/>
                <w:szCs w:val="20"/>
                <w:lang w:val="en-GB"/>
              </w:rPr>
              <w:t xml:space="preserve">is </w:t>
            </w:r>
            <w:r w:rsidRPr="009B39EC">
              <w:rPr>
                <w:rFonts w:ascii="Arial" w:hAnsi="Arial" w:cs="Arial"/>
                <w:sz w:val="20"/>
                <w:szCs w:val="20"/>
                <w:lang w:val="en-GB"/>
              </w:rPr>
              <w:t>as follows: The total cost of the implementation of</w:t>
            </w:r>
            <w:r w:rsidR="007F45A4" w:rsidRPr="009B39EC">
              <w:rPr>
                <w:rFonts w:ascii="Arial" w:hAnsi="Arial" w:cs="Arial"/>
                <w:sz w:val="20"/>
                <w:szCs w:val="20"/>
                <w:lang w:val="en-GB"/>
              </w:rPr>
              <w:t xml:space="preserve"> </w:t>
            </w:r>
            <w:r w:rsidR="005E41D5" w:rsidRPr="009B39EC">
              <w:rPr>
                <w:rFonts w:ascii="Arial" w:hAnsi="Arial" w:cs="Arial"/>
                <w:sz w:val="20"/>
                <w:szCs w:val="20"/>
                <w:lang w:val="en-GB"/>
              </w:rPr>
              <w:t xml:space="preserve">the 2021-2030 </w:t>
            </w:r>
            <w:r w:rsidR="00716A25" w:rsidRPr="009B39EC">
              <w:rPr>
                <w:rFonts w:ascii="Arial" w:hAnsi="Arial" w:cs="Arial"/>
                <w:sz w:val="20"/>
                <w:szCs w:val="20"/>
                <w:lang w:val="en-GB"/>
              </w:rPr>
              <w:t>NSGE</w:t>
            </w:r>
            <w:r w:rsidR="007F45A4" w:rsidRPr="009B39EC">
              <w:rPr>
                <w:rFonts w:ascii="Arial" w:hAnsi="Arial" w:cs="Arial"/>
                <w:sz w:val="20"/>
                <w:szCs w:val="20"/>
                <w:lang w:val="en-GB"/>
              </w:rPr>
              <w:t xml:space="preserve"> </w:t>
            </w:r>
            <w:r w:rsidRPr="009B39EC">
              <w:rPr>
                <w:rFonts w:ascii="Arial" w:hAnsi="Arial" w:cs="Arial"/>
                <w:sz w:val="20"/>
                <w:szCs w:val="20"/>
                <w:lang w:val="en-GB"/>
              </w:rPr>
              <w:t xml:space="preserve">is </w:t>
            </w:r>
            <w:r w:rsidR="007F45A4" w:rsidRPr="009B39EC">
              <w:rPr>
                <w:rFonts w:ascii="Arial" w:hAnsi="Arial" w:cs="Arial"/>
                <w:sz w:val="20"/>
                <w:szCs w:val="20"/>
                <w:lang w:val="en-GB"/>
              </w:rPr>
              <w:t xml:space="preserve">3,358,697,259 </w:t>
            </w:r>
            <w:r w:rsidR="002752F6" w:rsidRPr="009B39EC">
              <w:rPr>
                <w:rFonts w:ascii="Arial" w:hAnsi="Arial" w:cs="Arial"/>
                <w:sz w:val="20"/>
                <w:szCs w:val="20"/>
                <w:lang w:val="en-GB"/>
              </w:rPr>
              <w:t>ALL</w:t>
            </w:r>
            <w:r w:rsidRPr="009B39EC">
              <w:rPr>
                <w:rFonts w:ascii="Arial" w:hAnsi="Arial" w:cs="Arial"/>
                <w:sz w:val="20"/>
                <w:szCs w:val="20"/>
                <w:lang w:val="en-GB"/>
              </w:rPr>
              <w:t xml:space="preserve"> (</w:t>
            </w:r>
            <w:r w:rsidR="007F45A4" w:rsidRPr="009B39EC">
              <w:rPr>
                <w:rFonts w:ascii="Arial" w:hAnsi="Arial" w:cs="Arial"/>
                <w:sz w:val="20"/>
                <w:szCs w:val="20"/>
                <w:lang w:val="en-GB"/>
              </w:rPr>
              <w:t>o</w:t>
            </w:r>
            <w:r w:rsidRPr="009B39EC">
              <w:rPr>
                <w:rFonts w:ascii="Arial" w:hAnsi="Arial" w:cs="Arial"/>
                <w:sz w:val="20"/>
                <w:szCs w:val="20"/>
                <w:lang w:val="en-GB"/>
              </w:rPr>
              <w:t>r</w:t>
            </w:r>
            <w:r w:rsidR="007F45A4" w:rsidRPr="009B39EC">
              <w:rPr>
                <w:rFonts w:ascii="Arial" w:hAnsi="Arial" w:cs="Arial"/>
                <w:sz w:val="20"/>
                <w:szCs w:val="20"/>
                <w:lang w:val="en-GB"/>
              </w:rPr>
              <w:t xml:space="preserve"> 27,086,268 Euro</w:t>
            </w:r>
            <w:r w:rsidRPr="009B39EC">
              <w:rPr>
                <w:rFonts w:ascii="Arial" w:hAnsi="Arial" w:cs="Arial"/>
                <w:sz w:val="20"/>
                <w:szCs w:val="20"/>
                <w:lang w:val="en-GB"/>
              </w:rPr>
              <w:t>)</w:t>
            </w:r>
            <w:r w:rsidR="007F45A4" w:rsidRPr="009B39EC">
              <w:rPr>
                <w:rFonts w:ascii="Arial" w:hAnsi="Arial" w:cs="Arial"/>
                <w:sz w:val="20"/>
                <w:szCs w:val="20"/>
                <w:lang w:val="en-GB"/>
              </w:rPr>
              <w:t xml:space="preserve">. </w:t>
            </w:r>
            <w:r w:rsidRPr="009B39EC">
              <w:rPr>
                <w:rFonts w:ascii="Arial" w:hAnsi="Arial" w:cs="Arial"/>
                <w:sz w:val="20"/>
                <w:szCs w:val="20"/>
                <w:lang w:val="en-GB"/>
              </w:rPr>
              <w:t>The funds for the implementation of the</w:t>
            </w:r>
            <w:r w:rsidR="005E41D5" w:rsidRPr="009B39EC">
              <w:rPr>
                <w:rFonts w:ascii="Arial" w:hAnsi="Arial" w:cs="Arial"/>
                <w:sz w:val="20"/>
                <w:szCs w:val="20"/>
                <w:lang w:val="en-GB"/>
              </w:rPr>
              <w:t xml:space="preserve"> Strategy and its A</w:t>
            </w:r>
            <w:r w:rsidRPr="009B39EC">
              <w:rPr>
                <w:rFonts w:ascii="Arial" w:hAnsi="Arial" w:cs="Arial"/>
                <w:sz w:val="20"/>
                <w:szCs w:val="20"/>
                <w:lang w:val="en-GB"/>
              </w:rPr>
              <w:t xml:space="preserve">ction </w:t>
            </w:r>
            <w:r w:rsidR="005E41D5" w:rsidRPr="009B39EC">
              <w:rPr>
                <w:rFonts w:ascii="Arial" w:hAnsi="Arial" w:cs="Arial"/>
                <w:sz w:val="20"/>
                <w:szCs w:val="20"/>
                <w:lang w:val="en-GB"/>
              </w:rPr>
              <w:t>P</w:t>
            </w:r>
            <w:r w:rsidRPr="009B39EC">
              <w:rPr>
                <w:rFonts w:ascii="Arial" w:hAnsi="Arial" w:cs="Arial"/>
                <w:sz w:val="20"/>
                <w:szCs w:val="20"/>
                <w:lang w:val="en-GB"/>
              </w:rPr>
              <w:t xml:space="preserve">lan shall be drawn from </w:t>
            </w:r>
            <w:proofErr w:type="gramStart"/>
            <w:r w:rsidRPr="009B39EC">
              <w:rPr>
                <w:rFonts w:ascii="Arial" w:hAnsi="Arial" w:cs="Arial"/>
                <w:sz w:val="20"/>
                <w:szCs w:val="20"/>
                <w:lang w:val="en-GB"/>
              </w:rPr>
              <w:t>a number of</w:t>
            </w:r>
            <w:proofErr w:type="gramEnd"/>
            <w:r w:rsidRPr="009B39EC">
              <w:rPr>
                <w:rFonts w:ascii="Arial" w:hAnsi="Arial" w:cs="Arial"/>
                <w:sz w:val="20"/>
                <w:szCs w:val="20"/>
                <w:lang w:val="en-GB"/>
              </w:rPr>
              <w:t xml:space="preserve"> sources, the main ones being the state budget, LSGU funds and donor funding support</w:t>
            </w:r>
            <w:r w:rsidR="007F45A4" w:rsidRPr="009B39EC">
              <w:rPr>
                <w:rFonts w:ascii="Arial" w:hAnsi="Arial" w:cs="Arial"/>
                <w:sz w:val="20"/>
                <w:szCs w:val="20"/>
                <w:lang w:val="en-GB"/>
              </w:rPr>
              <w:t xml:space="preserve">. </w:t>
            </w:r>
            <w:r w:rsidR="00322B18" w:rsidRPr="009B39EC">
              <w:rPr>
                <w:rFonts w:ascii="Arial" w:hAnsi="Arial" w:cs="Arial"/>
                <w:sz w:val="20"/>
                <w:szCs w:val="20"/>
                <w:lang w:val="en-GB"/>
              </w:rPr>
              <w:t>It is expected that in the period 2021-2030, contributions from the state budget will cover 50.5</w:t>
            </w:r>
            <w:r w:rsidR="007515B1" w:rsidRPr="009B39EC">
              <w:rPr>
                <w:rFonts w:ascii="Arial" w:hAnsi="Arial" w:cs="Arial"/>
                <w:sz w:val="20"/>
                <w:szCs w:val="20"/>
                <w:lang w:val="en-GB"/>
              </w:rPr>
              <w:t>%</w:t>
            </w:r>
            <w:r w:rsidR="00322B18" w:rsidRPr="009B39EC">
              <w:rPr>
                <w:rFonts w:ascii="Arial" w:hAnsi="Arial" w:cs="Arial"/>
                <w:sz w:val="20"/>
                <w:szCs w:val="20"/>
                <w:lang w:val="en-GB"/>
              </w:rPr>
              <w:t xml:space="preserve"> of the </w:t>
            </w:r>
            <w:r w:rsidR="005E41D5" w:rsidRPr="009B39EC">
              <w:rPr>
                <w:rFonts w:ascii="Arial" w:hAnsi="Arial" w:cs="Arial"/>
                <w:sz w:val="20"/>
                <w:szCs w:val="20"/>
                <w:lang w:val="en-GB"/>
              </w:rPr>
              <w:t xml:space="preserve">total </w:t>
            </w:r>
            <w:r w:rsidR="00322B18" w:rsidRPr="009B39EC">
              <w:rPr>
                <w:rFonts w:ascii="Arial" w:hAnsi="Arial" w:cs="Arial"/>
                <w:sz w:val="20"/>
                <w:szCs w:val="20"/>
                <w:lang w:val="en-GB"/>
              </w:rPr>
              <w:t>funds needed for the implementation of the Strategy and its plan; 33.9</w:t>
            </w:r>
            <w:r w:rsidR="007515B1" w:rsidRPr="009B39EC">
              <w:rPr>
                <w:rFonts w:ascii="Arial" w:hAnsi="Arial" w:cs="Arial"/>
                <w:sz w:val="20"/>
                <w:szCs w:val="20"/>
                <w:lang w:val="en-GB"/>
              </w:rPr>
              <w:t>%</w:t>
            </w:r>
            <w:r w:rsidR="00322B18" w:rsidRPr="009B39EC">
              <w:rPr>
                <w:rFonts w:ascii="Arial" w:hAnsi="Arial" w:cs="Arial"/>
                <w:sz w:val="20"/>
                <w:szCs w:val="20"/>
                <w:lang w:val="en-GB"/>
              </w:rPr>
              <w:t xml:space="preserve"> is expected to be covered by other sources and donors, with a funding gap of 15.6</w:t>
            </w:r>
            <w:r w:rsidR="007515B1" w:rsidRPr="009B39EC">
              <w:rPr>
                <w:rFonts w:ascii="Arial" w:hAnsi="Arial" w:cs="Arial"/>
                <w:sz w:val="20"/>
                <w:szCs w:val="20"/>
                <w:lang w:val="en-GB"/>
              </w:rPr>
              <w:t>%</w:t>
            </w:r>
            <w:r w:rsidR="00322B18" w:rsidRPr="009B39EC">
              <w:rPr>
                <w:rFonts w:ascii="Arial" w:hAnsi="Arial" w:cs="Arial"/>
                <w:sz w:val="20"/>
                <w:szCs w:val="20"/>
                <w:lang w:val="en-GB"/>
              </w:rPr>
              <w:t xml:space="preserve">. </w:t>
            </w:r>
            <w:r w:rsidR="005E41D5" w:rsidRPr="009B39EC">
              <w:rPr>
                <w:rFonts w:ascii="Arial" w:hAnsi="Arial" w:cs="Arial"/>
                <w:sz w:val="20"/>
                <w:szCs w:val="20"/>
                <w:lang w:val="en-GB"/>
              </w:rPr>
              <w:t>Current expenditures will comprise about 80.1</w:t>
            </w:r>
            <w:r w:rsidR="007515B1" w:rsidRPr="009B39EC">
              <w:rPr>
                <w:rFonts w:ascii="Arial" w:hAnsi="Arial" w:cs="Arial"/>
                <w:sz w:val="20"/>
                <w:szCs w:val="20"/>
                <w:lang w:val="en-GB"/>
              </w:rPr>
              <w:t>%</w:t>
            </w:r>
            <w:r w:rsidR="005E41D5" w:rsidRPr="009B39EC">
              <w:rPr>
                <w:rFonts w:ascii="Arial" w:hAnsi="Arial" w:cs="Arial"/>
                <w:sz w:val="20"/>
                <w:szCs w:val="20"/>
                <w:lang w:val="en-GB"/>
              </w:rPr>
              <w:t xml:space="preserve"> of total expenditures, while the remaining 19.9</w:t>
            </w:r>
            <w:r w:rsidR="007515B1" w:rsidRPr="009B39EC">
              <w:rPr>
                <w:rFonts w:ascii="Arial" w:hAnsi="Arial" w:cs="Arial"/>
                <w:sz w:val="20"/>
                <w:szCs w:val="20"/>
                <w:lang w:val="en-GB"/>
              </w:rPr>
              <w:t>%</w:t>
            </w:r>
            <w:r w:rsidR="005E41D5" w:rsidRPr="009B39EC">
              <w:rPr>
                <w:rFonts w:ascii="Arial" w:hAnsi="Arial" w:cs="Arial"/>
                <w:sz w:val="20"/>
                <w:szCs w:val="20"/>
                <w:lang w:val="en-GB"/>
              </w:rPr>
              <w:t xml:space="preserve"> will go towards capital expenditures. In financial terms, Policy Goal III (reduction of GBV &amp; DV), is expected to receive the largest amount of funds in the strategy </w:t>
            </w:r>
            <w:r w:rsidR="00846A69" w:rsidRPr="009B39EC">
              <w:rPr>
                <w:rFonts w:ascii="Arial" w:hAnsi="Arial" w:cs="Arial"/>
                <w:sz w:val="20"/>
                <w:szCs w:val="20"/>
                <w:lang w:val="en-GB"/>
              </w:rPr>
              <w:t>implementation,</w:t>
            </w:r>
            <w:r w:rsidR="00322B18" w:rsidRPr="009B39EC">
              <w:rPr>
                <w:rFonts w:ascii="Arial" w:hAnsi="Arial" w:cs="Arial"/>
                <w:sz w:val="20"/>
                <w:szCs w:val="20"/>
                <w:lang w:val="en-GB"/>
              </w:rPr>
              <w:t xml:space="preserve"> namely 63.8</w:t>
            </w:r>
            <w:r w:rsidR="007515B1" w:rsidRPr="009B39EC">
              <w:rPr>
                <w:rFonts w:ascii="Arial" w:hAnsi="Arial" w:cs="Arial"/>
                <w:sz w:val="20"/>
                <w:szCs w:val="20"/>
                <w:lang w:val="en-GB"/>
              </w:rPr>
              <w:t>%</w:t>
            </w:r>
            <w:r w:rsidR="007F45A4" w:rsidRPr="009B39EC">
              <w:rPr>
                <w:rFonts w:ascii="Arial" w:hAnsi="Arial" w:cs="Arial"/>
                <w:sz w:val="20"/>
                <w:szCs w:val="20"/>
                <w:lang w:val="en-GB"/>
              </w:rPr>
              <w:t>.</w:t>
            </w:r>
          </w:p>
          <w:p w14:paraId="15A0B11C" w14:textId="6F960B40" w:rsidR="009B39EC" w:rsidRPr="009B39EC" w:rsidRDefault="009B39EC" w:rsidP="00DC5A7D">
            <w:pPr>
              <w:jc w:val="both"/>
              <w:rPr>
                <w:rFonts w:ascii="Arial" w:hAnsi="Arial" w:cs="Arial"/>
                <w:sz w:val="20"/>
                <w:szCs w:val="20"/>
                <w:lang w:val="en-GB"/>
              </w:rPr>
            </w:pPr>
          </w:p>
        </w:tc>
      </w:tr>
      <w:tr w:rsidR="00DC5A7D" w:rsidRPr="009B39EC" w14:paraId="35BEA750" w14:textId="77777777" w:rsidTr="00CD0E91">
        <w:tc>
          <w:tcPr>
            <w:tcW w:w="5000" w:type="pct"/>
            <w:gridSpan w:val="4"/>
          </w:tcPr>
          <w:p w14:paraId="1FE2532F" w14:textId="77777777" w:rsidR="00DC5A7D" w:rsidRPr="009B39EC" w:rsidRDefault="00DC5A7D" w:rsidP="00DC5A7D">
            <w:pPr>
              <w:pStyle w:val="NoSpacing"/>
              <w:ind w:left="1080"/>
              <w:jc w:val="both"/>
              <w:rPr>
                <w:rFonts w:ascii="Arial" w:hAnsi="Arial" w:cs="Arial"/>
                <w:b/>
                <w:bCs/>
                <w:sz w:val="20"/>
                <w:szCs w:val="20"/>
                <w:lang w:val="en-GB"/>
              </w:rPr>
            </w:pPr>
          </w:p>
          <w:p w14:paraId="2FC39CF1" w14:textId="16E06271" w:rsidR="00DC5A7D" w:rsidRPr="009B39EC" w:rsidRDefault="00047815" w:rsidP="00CA765E">
            <w:pPr>
              <w:pStyle w:val="ListParagraph"/>
              <w:numPr>
                <w:ilvl w:val="0"/>
                <w:numId w:val="3"/>
              </w:numPr>
              <w:jc w:val="both"/>
              <w:rPr>
                <w:rFonts w:ascii="Arial" w:hAnsi="Arial" w:cs="Arial"/>
                <w:sz w:val="20"/>
                <w:szCs w:val="20"/>
                <w:lang w:val="en-GB"/>
              </w:rPr>
            </w:pPr>
            <w:r w:rsidRPr="009B39EC">
              <w:rPr>
                <w:rFonts w:ascii="Arial" w:hAnsi="Arial" w:cs="Arial"/>
                <w:b/>
                <w:bCs/>
                <w:sz w:val="20"/>
                <w:szCs w:val="20"/>
                <w:lang w:val="en-GB"/>
              </w:rPr>
              <w:t xml:space="preserve">Non-governmental organisations and civil society </w:t>
            </w:r>
            <w:r w:rsidR="00CA765E" w:rsidRPr="009B39EC">
              <w:rPr>
                <w:rFonts w:ascii="Arial" w:hAnsi="Arial" w:cs="Arial"/>
                <w:b/>
                <w:bCs/>
                <w:sz w:val="20"/>
                <w:szCs w:val="20"/>
                <w:lang w:val="en-GB"/>
              </w:rPr>
              <w:t>(</w:t>
            </w:r>
            <w:r w:rsidRPr="009B39EC">
              <w:rPr>
                <w:rFonts w:ascii="Arial" w:hAnsi="Arial" w:cs="Arial"/>
                <w:b/>
                <w:bCs/>
                <w:sz w:val="20"/>
                <w:szCs w:val="20"/>
                <w:lang w:val="en-GB"/>
              </w:rPr>
              <w:t>Article</w:t>
            </w:r>
            <w:r w:rsidR="00CA765E" w:rsidRPr="009B39EC">
              <w:rPr>
                <w:rFonts w:ascii="Arial" w:hAnsi="Arial" w:cs="Arial"/>
                <w:b/>
                <w:bCs/>
                <w:sz w:val="20"/>
                <w:szCs w:val="20"/>
                <w:lang w:val="en-GB"/>
              </w:rPr>
              <w:t xml:space="preserve"> 9)</w:t>
            </w:r>
          </w:p>
          <w:p w14:paraId="706A36A1" w14:textId="735C1CA3" w:rsidR="00CA765E" w:rsidRPr="009B39EC" w:rsidRDefault="00CA765E" w:rsidP="00CA765E">
            <w:pPr>
              <w:pStyle w:val="ListParagraph"/>
              <w:ind w:left="1080"/>
              <w:jc w:val="both"/>
              <w:rPr>
                <w:rFonts w:ascii="Arial" w:hAnsi="Arial" w:cs="Arial"/>
                <w:sz w:val="20"/>
                <w:szCs w:val="20"/>
                <w:lang w:val="en-GB"/>
              </w:rPr>
            </w:pPr>
          </w:p>
        </w:tc>
      </w:tr>
      <w:tr w:rsidR="00CA765E" w:rsidRPr="009B39EC" w14:paraId="520D2ABA" w14:textId="77777777" w:rsidTr="00047815">
        <w:tc>
          <w:tcPr>
            <w:tcW w:w="216" w:type="pct"/>
          </w:tcPr>
          <w:p w14:paraId="6E258665"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16</w:t>
            </w:r>
          </w:p>
        </w:tc>
        <w:tc>
          <w:tcPr>
            <w:tcW w:w="3497" w:type="pct"/>
          </w:tcPr>
          <w:p w14:paraId="4908E7D6" w14:textId="222D5BCA" w:rsidR="00CA765E" w:rsidRPr="009B39EC" w:rsidRDefault="00047815" w:rsidP="00CA765E">
            <w:pPr>
              <w:pStyle w:val="NoSpacing"/>
              <w:jc w:val="both"/>
              <w:rPr>
                <w:rFonts w:ascii="Arial" w:hAnsi="Arial" w:cs="Arial"/>
                <w:sz w:val="20"/>
                <w:szCs w:val="20"/>
                <w:lang w:val="en-GB"/>
              </w:rPr>
            </w:pPr>
            <w:r w:rsidRPr="009B39EC">
              <w:rPr>
                <w:rFonts w:ascii="Arial" w:hAnsi="Arial" w:cs="Arial"/>
                <w:sz w:val="20"/>
                <w:szCs w:val="20"/>
                <w:lang w:val="en-GB"/>
              </w:rPr>
              <w:t xml:space="preserve">Have your authorities taken measures contributing to further recognise, </w:t>
            </w:r>
            <w:proofErr w:type="gramStart"/>
            <w:r w:rsidRPr="009B39EC">
              <w:rPr>
                <w:rFonts w:ascii="Arial" w:hAnsi="Arial" w:cs="Arial"/>
                <w:sz w:val="20"/>
                <w:szCs w:val="20"/>
                <w:lang w:val="en-GB"/>
              </w:rPr>
              <w:t>encourage</w:t>
            </w:r>
            <w:proofErr w:type="gramEnd"/>
            <w:r w:rsidRPr="009B39EC">
              <w:rPr>
                <w:rFonts w:ascii="Arial" w:hAnsi="Arial" w:cs="Arial"/>
                <w:sz w:val="20"/>
                <w:szCs w:val="20"/>
                <w:lang w:val="en-GB"/>
              </w:rPr>
              <w:t xml:space="preserve"> and support the work of relevant non-governmental organisations and of civil society active in combating all forms of violence against women covered by the Istanbul Convention, including in terms of funding and co-operation</w:t>
            </w:r>
            <w:r w:rsidR="00CA765E" w:rsidRPr="009B39EC">
              <w:rPr>
                <w:rFonts w:ascii="Arial" w:hAnsi="Arial" w:cs="Arial"/>
                <w:sz w:val="20"/>
                <w:szCs w:val="20"/>
                <w:lang w:val="en-GB"/>
              </w:rPr>
              <w:t>?</w:t>
            </w:r>
          </w:p>
        </w:tc>
        <w:tc>
          <w:tcPr>
            <w:tcW w:w="800" w:type="pct"/>
          </w:tcPr>
          <w:p w14:paraId="75B2C904" w14:textId="3857F899" w:rsidR="00CA765E" w:rsidRPr="009B39EC" w:rsidRDefault="00A65624" w:rsidP="00CA765E">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504357372"/>
                <w14:checkbox>
                  <w14:checked w14:val="1"/>
                  <w14:checkedState w14:val="2612" w14:font="MS Gothic"/>
                  <w14:uncheckedState w14:val="2610" w14:font="MS Gothic"/>
                </w14:checkbox>
              </w:sdtPr>
              <w:sdtEndPr/>
              <w:sdtContent>
                <w:r w:rsidR="00CA765E" w:rsidRPr="009B39EC">
                  <w:rPr>
                    <w:rFonts w:ascii="Segoe UI Symbol" w:eastAsia="MS Gothic" w:hAnsi="Segoe UI Symbol" w:cs="Segoe UI Symbol"/>
                    <w:sz w:val="20"/>
                    <w:szCs w:val="20"/>
                    <w:lang w:val="en-GB"/>
                  </w:rPr>
                  <w:t>☒</w:t>
                </w:r>
              </w:sdtContent>
            </w:sdt>
          </w:p>
        </w:tc>
        <w:tc>
          <w:tcPr>
            <w:tcW w:w="487" w:type="pct"/>
          </w:tcPr>
          <w:p w14:paraId="66D69B35" w14:textId="663E7608" w:rsidR="00CA765E" w:rsidRPr="009B39EC" w:rsidRDefault="00A65624" w:rsidP="00CA765E">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855804120"/>
                <w14:checkbox>
                  <w14:checked w14:val="0"/>
                  <w14:checkedState w14:val="2612" w14:font="MS Gothic"/>
                  <w14:uncheckedState w14:val="2610" w14:font="MS Gothic"/>
                </w14:checkbox>
              </w:sdtPr>
              <w:sdtEndPr/>
              <w:sdtContent>
                <w:r w:rsidR="00CA765E" w:rsidRPr="009B39EC">
                  <w:rPr>
                    <w:rFonts w:ascii="Segoe UI Symbol" w:eastAsia="MS Gothic" w:hAnsi="Segoe UI Symbol" w:cs="Segoe UI Symbol"/>
                    <w:sz w:val="20"/>
                    <w:szCs w:val="20"/>
                    <w:lang w:val="en-GB"/>
                  </w:rPr>
                  <w:t>☐</w:t>
                </w:r>
              </w:sdtContent>
            </w:sdt>
          </w:p>
        </w:tc>
      </w:tr>
      <w:tr w:rsidR="00CA765E" w:rsidRPr="009B39EC" w14:paraId="3101085C" w14:textId="77777777" w:rsidTr="004860C4">
        <w:tc>
          <w:tcPr>
            <w:tcW w:w="216" w:type="pct"/>
          </w:tcPr>
          <w:p w14:paraId="5E2CFFAE"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16.1</w:t>
            </w:r>
          </w:p>
        </w:tc>
        <w:tc>
          <w:tcPr>
            <w:tcW w:w="4784" w:type="pct"/>
            <w:gridSpan w:val="3"/>
          </w:tcPr>
          <w:p w14:paraId="78497448" w14:textId="2960AE7F" w:rsidR="007E23B8" w:rsidRPr="009B39EC" w:rsidRDefault="00047815" w:rsidP="00CA765E">
            <w:pPr>
              <w:jc w:val="both"/>
              <w:rPr>
                <w:rFonts w:ascii="Arial" w:hAnsi="Arial" w:cs="Arial"/>
                <w:sz w:val="20"/>
                <w:szCs w:val="20"/>
                <w:lang w:val="en-GB"/>
              </w:rPr>
            </w:pPr>
            <w:r w:rsidRPr="009B39EC">
              <w:rPr>
                <w:rFonts w:ascii="Arial" w:hAnsi="Arial" w:cs="Arial"/>
                <w:sz w:val="20"/>
                <w:szCs w:val="20"/>
                <w:lang w:val="en-GB"/>
              </w:rPr>
              <w:t>If yes, please specify</w:t>
            </w:r>
            <w:r w:rsidR="00CA765E" w:rsidRPr="009B39EC">
              <w:rPr>
                <w:rFonts w:ascii="Arial" w:hAnsi="Arial" w:cs="Arial"/>
                <w:sz w:val="20"/>
                <w:szCs w:val="20"/>
                <w:lang w:val="en-GB"/>
              </w:rPr>
              <w:t>:</w:t>
            </w:r>
          </w:p>
          <w:p w14:paraId="171E44F9" w14:textId="353E2077" w:rsidR="008870C3" w:rsidRPr="009B39EC" w:rsidRDefault="008870C3" w:rsidP="00CA765E">
            <w:pPr>
              <w:jc w:val="both"/>
              <w:rPr>
                <w:rFonts w:ascii="Arial" w:hAnsi="Arial" w:cs="Arial"/>
                <w:sz w:val="20"/>
                <w:szCs w:val="20"/>
                <w:lang w:val="en-GB"/>
              </w:rPr>
            </w:pPr>
          </w:p>
          <w:p w14:paraId="37B56BB7" w14:textId="11158054" w:rsidR="00111FD4" w:rsidRPr="009B39EC" w:rsidRDefault="00322B18" w:rsidP="00111FD4">
            <w:pPr>
              <w:jc w:val="both"/>
              <w:rPr>
                <w:rFonts w:ascii="Arial" w:hAnsi="Arial" w:cs="Arial"/>
                <w:sz w:val="20"/>
                <w:szCs w:val="20"/>
                <w:lang w:val="en-GB"/>
              </w:rPr>
            </w:pPr>
            <w:r w:rsidRPr="009B39EC">
              <w:rPr>
                <w:rFonts w:ascii="Arial" w:hAnsi="Arial" w:cs="Arial"/>
                <w:sz w:val="20"/>
                <w:szCs w:val="20"/>
                <w:lang w:val="en-GB"/>
              </w:rPr>
              <w:t xml:space="preserve">As already </w:t>
            </w:r>
            <w:r w:rsidR="005F3B42" w:rsidRPr="009B39EC">
              <w:rPr>
                <w:rFonts w:ascii="Arial" w:hAnsi="Arial" w:cs="Arial"/>
                <w:sz w:val="20"/>
                <w:szCs w:val="20"/>
                <w:lang w:val="en-GB"/>
              </w:rPr>
              <w:t xml:space="preserve">stated </w:t>
            </w:r>
            <w:r w:rsidR="005E41D5" w:rsidRPr="009B39EC">
              <w:rPr>
                <w:rFonts w:ascii="Arial" w:hAnsi="Arial" w:cs="Arial"/>
                <w:sz w:val="20"/>
                <w:szCs w:val="20"/>
                <w:lang w:val="en-GB"/>
              </w:rPr>
              <w:t>previously</w:t>
            </w:r>
            <w:r w:rsidR="005F3B42" w:rsidRPr="009B39EC">
              <w:rPr>
                <w:rFonts w:ascii="Arial" w:hAnsi="Arial" w:cs="Arial"/>
                <w:sz w:val="20"/>
                <w:szCs w:val="20"/>
                <w:lang w:val="en-GB"/>
              </w:rPr>
              <w:t>, the</w:t>
            </w:r>
            <w:r w:rsidR="00111FD4" w:rsidRPr="009B39EC">
              <w:rPr>
                <w:rFonts w:ascii="Arial" w:hAnsi="Arial" w:cs="Arial"/>
                <w:sz w:val="20"/>
                <w:szCs w:val="20"/>
                <w:lang w:val="en-GB"/>
              </w:rPr>
              <w:t xml:space="preserve"> </w:t>
            </w:r>
            <w:r w:rsidR="004056CA" w:rsidRPr="009B39EC">
              <w:rPr>
                <w:rFonts w:ascii="Arial" w:hAnsi="Arial" w:cs="Arial"/>
                <w:sz w:val="20"/>
                <w:szCs w:val="20"/>
                <w:lang w:val="en-GB"/>
              </w:rPr>
              <w:t>Ministry of Health and Social Protection</w:t>
            </w:r>
            <w:r w:rsidR="00111FD4" w:rsidRPr="009B39EC">
              <w:rPr>
                <w:rFonts w:ascii="Arial" w:hAnsi="Arial" w:cs="Arial"/>
                <w:sz w:val="20"/>
                <w:szCs w:val="20"/>
                <w:lang w:val="en-GB"/>
              </w:rPr>
              <w:t xml:space="preserve"> </w:t>
            </w:r>
            <w:r w:rsidR="00EB58BF" w:rsidRPr="009B39EC">
              <w:rPr>
                <w:rFonts w:ascii="Arial" w:hAnsi="Arial" w:cs="Arial"/>
                <w:sz w:val="20"/>
                <w:szCs w:val="20"/>
                <w:lang w:val="en-GB"/>
              </w:rPr>
              <w:t>collaborates closely with</w:t>
            </w:r>
            <w:r w:rsidR="005F3B42" w:rsidRPr="009B39EC">
              <w:rPr>
                <w:rFonts w:ascii="Arial" w:hAnsi="Arial" w:cs="Arial"/>
                <w:sz w:val="20"/>
                <w:szCs w:val="20"/>
                <w:lang w:val="en-GB"/>
              </w:rPr>
              <w:t xml:space="preserve"> civil society organisations. These organisations also have an active presence</w:t>
            </w:r>
            <w:r w:rsidR="00111FD4" w:rsidRPr="009B39EC">
              <w:rPr>
                <w:rFonts w:ascii="Arial" w:hAnsi="Arial" w:cs="Arial"/>
                <w:sz w:val="20"/>
                <w:szCs w:val="20"/>
                <w:lang w:val="en-GB"/>
              </w:rPr>
              <w:t xml:space="preserve"> </w:t>
            </w:r>
            <w:r w:rsidR="005F3B42" w:rsidRPr="009B39EC">
              <w:rPr>
                <w:rFonts w:ascii="Arial" w:hAnsi="Arial" w:cs="Arial"/>
                <w:sz w:val="20"/>
                <w:szCs w:val="20"/>
                <w:lang w:val="en-GB"/>
              </w:rPr>
              <w:t>in advisory and monitoring bodies (such as the National Council on Gender Equality). The recognition</w:t>
            </w:r>
            <w:r w:rsidR="00DF3616" w:rsidRPr="009B39EC">
              <w:rPr>
                <w:rFonts w:ascii="Arial" w:hAnsi="Arial" w:cs="Arial"/>
                <w:sz w:val="20"/>
                <w:szCs w:val="20"/>
                <w:lang w:val="en-GB"/>
              </w:rPr>
              <w:t>,</w:t>
            </w:r>
            <w:r w:rsidR="005F3B42" w:rsidRPr="009B39EC">
              <w:rPr>
                <w:rFonts w:ascii="Arial" w:hAnsi="Arial" w:cs="Arial"/>
                <w:sz w:val="20"/>
                <w:szCs w:val="20"/>
                <w:lang w:val="en-GB"/>
              </w:rPr>
              <w:t xml:space="preserve"> encouragement</w:t>
            </w:r>
            <w:r w:rsidR="00DF3616" w:rsidRPr="009B39EC">
              <w:rPr>
                <w:rFonts w:ascii="Arial" w:hAnsi="Arial" w:cs="Arial"/>
                <w:sz w:val="20"/>
                <w:szCs w:val="20"/>
                <w:lang w:val="en-GB"/>
              </w:rPr>
              <w:t>,</w:t>
            </w:r>
            <w:r w:rsidR="005F3B42" w:rsidRPr="009B39EC">
              <w:rPr>
                <w:rFonts w:ascii="Arial" w:hAnsi="Arial" w:cs="Arial"/>
                <w:sz w:val="20"/>
                <w:szCs w:val="20"/>
                <w:lang w:val="en-GB"/>
              </w:rPr>
              <w:t xml:space="preserve"> and support </w:t>
            </w:r>
            <w:r w:rsidR="00DF3616" w:rsidRPr="009B39EC">
              <w:rPr>
                <w:rFonts w:ascii="Arial" w:hAnsi="Arial" w:cs="Arial"/>
                <w:sz w:val="20"/>
                <w:szCs w:val="20"/>
                <w:lang w:val="en-GB"/>
              </w:rPr>
              <w:t xml:space="preserve">that the MHSP provides to </w:t>
            </w:r>
            <w:r w:rsidR="005F3B42" w:rsidRPr="009B39EC">
              <w:rPr>
                <w:rFonts w:ascii="Arial" w:hAnsi="Arial" w:cs="Arial"/>
                <w:sz w:val="20"/>
                <w:szCs w:val="20"/>
                <w:lang w:val="en-GB"/>
              </w:rPr>
              <w:t xml:space="preserve">civil society organisations is also reflected in the fact that the Ministry regularly invites them to participate in various processes </w:t>
            </w:r>
            <w:r w:rsidR="00DF3616" w:rsidRPr="009B39EC">
              <w:rPr>
                <w:rFonts w:ascii="Arial" w:hAnsi="Arial" w:cs="Arial"/>
                <w:sz w:val="20"/>
                <w:szCs w:val="20"/>
                <w:lang w:val="en-GB"/>
              </w:rPr>
              <w:t>focusing on</w:t>
            </w:r>
            <w:r w:rsidR="005F3B42" w:rsidRPr="009B39EC">
              <w:rPr>
                <w:rFonts w:ascii="Arial" w:hAnsi="Arial" w:cs="Arial"/>
                <w:sz w:val="20"/>
                <w:szCs w:val="20"/>
                <w:lang w:val="en-GB"/>
              </w:rPr>
              <w:t xml:space="preserve"> gender equality and combatting gender-based violence and domestic violence</w:t>
            </w:r>
            <w:r w:rsidR="00111FD4" w:rsidRPr="009B39EC">
              <w:rPr>
                <w:rFonts w:ascii="Arial" w:hAnsi="Arial" w:cs="Arial"/>
                <w:sz w:val="20"/>
                <w:szCs w:val="20"/>
                <w:lang w:val="en-GB"/>
              </w:rPr>
              <w:t xml:space="preserve"> (</w:t>
            </w:r>
            <w:r w:rsidR="005F3B42" w:rsidRPr="009B39EC">
              <w:rPr>
                <w:rFonts w:ascii="Arial" w:hAnsi="Arial" w:cs="Arial"/>
                <w:sz w:val="20"/>
                <w:szCs w:val="20"/>
                <w:lang w:val="en-GB"/>
              </w:rPr>
              <w:t xml:space="preserve">for instance, in the </w:t>
            </w:r>
            <w:r w:rsidR="00DF3616" w:rsidRPr="009B39EC">
              <w:rPr>
                <w:rFonts w:ascii="Arial" w:hAnsi="Arial" w:cs="Arial"/>
                <w:sz w:val="20"/>
                <w:szCs w:val="20"/>
                <w:lang w:val="en-GB"/>
              </w:rPr>
              <w:t xml:space="preserve">consultation and endorsement processes for the 2016-2020 </w:t>
            </w:r>
            <w:r w:rsidR="00716A25" w:rsidRPr="009B39EC">
              <w:rPr>
                <w:rFonts w:ascii="Arial" w:hAnsi="Arial" w:cs="Arial"/>
                <w:sz w:val="20"/>
                <w:szCs w:val="20"/>
                <w:lang w:val="en-GB"/>
              </w:rPr>
              <w:t>NSGE</w:t>
            </w:r>
            <w:r w:rsidR="00111FD4" w:rsidRPr="009B39EC">
              <w:rPr>
                <w:rFonts w:ascii="Arial" w:hAnsi="Arial" w:cs="Arial"/>
                <w:sz w:val="20"/>
                <w:szCs w:val="20"/>
                <w:lang w:val="en-GB"/>
              </w:rPr>
              <w:t xml:space="preserve"> </w:t>
            </w:r>
            <w:r w:rsidR="005F3B42" w:rsidRPr="009B39EC">
              <w:rPr>
                <w:rFonts w:ascii="Arial" w:hAnsi="Arial" w:cs="Arial"/>
                <w:sz w:val="20"/>
                <w:szCs w:val="20"/>
                <w:lang w:val="en-GB"/>
              </w:rPr>
              <w:t>Evaluation Report</w:t>
            </w:r>
            <w:r w:rsidR="00111FD4" w:rsidRPr="009B39EC">
              <w:rPr>
                <w:rFonts w:ascii="Arial" w:hAnsi="Arial" w:cs="Arial"/>
                <w:sz w:val="20"/>
                <w:szCs w:val="20"/>
                <w:lang w:val="en-GB"/>
              </w:rPr>
              <w:t xml:space="preserve">, </w:t>
            </w:r>
            <w:r w:rsidR="005F3B42" w:rsidRPr="009B39EC">
              <w:rPr>
                <w:rFonts w:ascii="Arial" w:hAnsi="Arial" w:cs="Arial"/>
                <w:sz w:val="20"/>
                <w:szCs w:val="20"/>
                <w:lang w:val="en-GB"/>
              </w:rPr>
              <w:t xml:space="preserve">consultations on priority areas and key measures and actions </w:t>
            </w:r>
            <w:r w:rsidR="00DF3616" w:rsidRPr="009B39EC">
              <w:rPr>
                <w:rFonts w:ascii="Arial" w:hAnsi="Arial" w:cs="Arial"/>
                <w:sz w:val="20"/>
                <w:szCs w:val="20"/>
                <w:lang w:val="en-GB"/>
              </w:rPr>
              <w:t xml:space="preserve">of the </w:t>
            </w:r>
            <w:r w:rsidR="00D62011" w:rsidRPr="009B39EC">
              <w:rPr>
                <w:rFonts w:ascii="Arial" w:hAnsi="Arial" w:cs="Arial"/>
                <w:sz w:val="20"/>
                <w:szCs w:val="20"/>
                <w:lang w:val="en-GB"/>
              </w:rPr>
              <w:t>under</w:t>
            </w:r>
            <w:r w:rsidR="005F3B42" w:rsidRPr="009B39EC">
              <w:rPr>
                <w:rFonts w:ascii="Arial" w:hAnsi="Arial" w:cs="Arial"/>
                <w:sz w:val="20"/>
                <w:szCs w:val="20"/>
                <w:lang w:val="en-GB"/>
              </w:rPr>
              <w:t xml:space="preserve"> </w:t>
            </w:r>
            <w:r w:rsidR="00DF3616" w:rsidRPr="009B39EC">
              <w:rPr>
                <w:rFonts w:ascii="Arial" w:hAnsi="Arial" w:cs="Arial"/>
                <w:sz w:val="20"/>
                <w:szCs w:val="20"/>
                <w:lang w:val="en-GB"/>
              </w:rPr>
              <w:t xml:space="preserve">2021-2030 </w:t>
            </w:r>
            <w:r w:rsidR="00716A25" w:rsidRPr="009B39EC">
              <w:rPr>
                <w:rFonts w:ascii="Arial" w:hAnsi="Arial" w:cs="Arial"/>
                <w:sz w:val="20"/>
                <w:szCs w:val="20"/>
                <w:lang w:val="en-GB"/>
              </w:rPr>
              <w:t>NSGE</w:t>
            </w:r>
            <w:r w:rsidR="00DF3616" w:rsidRPr="009B39EC">
              <w:rPr>
                <w:rFonts w:ascii="Arial" w:hAnsi="Arial" w:cs="Arial"/>
                <w:sz w:val="20"/>
                <w:szCs w:val="20"/>
                <w:lang w:val="en-GB"/>
              </w:rPr>
              <w:t>;</w:t>
            </w:r>
            <w:r w:rsidR="00111FD4" w:rsidRPr="009B39EC">
              <w:rPr>
                <w:rFonts w:ascii="Arial" w:hAnsi="Arial" w:cs="Arial"/>
                <w:sz w:val="20"/>
                <w:szCs w:val="20"/>
                <w:lang w:val="en-GB"/>
              </w:rPr>
              <w:t xml:space="preserve"> </w:t>
            </w:r>
            <w:r w:rsidR="005F3B42" w:rsidRPr="009B39EC">
              <w:rPr>
                <w:rFonts w:ascii="Arial" w:hAnsi="Arial" w:cs="Arial"/>
                <w:sz w:val="20"/>
                <w:szCs w:val="20"/>
                <w:lang w:val="en-GB"/>
              </w:rPr>
              <w:t>consult</w:t>
            </w:r>
            <w:r w:rsidR="00DF3616" w:rsidRPr="009B39EC">
              <w:rPr>
                <w:rFonts w:ascii="Arial" w:hAnsi="Arial" w:cs="Arial"/>
                <w:sz w:val="20"/>
                <w:szCs w:val="20"/>
                <w:lang w:val="en-GB"/>
              </w:rPr>
              <w:t xml:space="preserve">ations and </w:t>
            </w:r>
            <w:r w:rsidR="005F3B42" w:rsidRPr="009B39EC">
              <w:rPr>
                <w:rFonts w:ascii="Arial" w:hAnsi="Arial" w:cs="Arial"/>
                <w:sz w:val="20"/>
                <w:szCs w:val="20"/>
                <w:lang w:val="en-GB"/>
              </w:rPr>
              <w:t>seeking their opinion in the preparation of the present report, etc</w:t>
            </w:r>
            <w:r w:rsidR="00111FD4" w:rsidRPr="009B39EC">
              <w:rPr>
                <w:rFonts w:ascii="Arial" w:hAnsi="Arial" w:cs="Arial"/>
                <w:sz w:val="20"/>
                <w:szCs w:val="20"/>
                <w:lang w:val="en-GB"/>
              </w:rPr>
              <w:t xml:space="preserve">.). </w:t>
            </w:r>
            <w:r w:rsidR="00D62011" w:rsidRPr="009B39EC">
              <w:rPr>
                <w:rFonts w:ascii="Arial" w:hAnsi="Arial" w:cs="Arial"/>
                <w:sz w:val="20"/>
                <w:szCs w:val="20"/>
                <w:lang w:val="en-GB"/>
              </w:rPr>
              <w:t xml:space="preserve">This collaboration is particularly evident in the organisation of information and awareness raising activities and campaigns at the national and local level. For years now, Albania has been organising awareness-raising </w:t>
            </w:r>
            <w:r w:rsidR="00DF3616" w:rsidRPr="009B39EC">
              <w:rPr>
                <w:rFonts w:ascii="Arial" w:hAnsi="Arial" w:cs="Arial"/>
                <w:sz w:val="20"/>
                <w:szCs w:val="20"/>
                <w:lang w:val="en-GB"/>
              </w:rPr>
              <w:t>activities on legislative matters</w:t>
            </w:r>
            <w:r w:rsidR="00D62011" w:rsidRPr="009B39EC">
              <w:rPr>
                <w:rFonts w:ascii="Arial" w:hAnsi="Arial" w:cs="Arial"/>
                <w:sz w:val="20"/>
                <w:szCs w:val="20"/>
                <w:lang w:val="en-GB"/>
              </w:rPr>
              <w:t>, protection mechanisms and services, as part of the global campaign 16 Days of Activism against Gender Based Violence</w:t>
            </w:r>
            <w:r w:rsidR="00111FD4" w:rsidRPr="009B39EC">
              <w:rPr>
                <w:rFonts w:ascii="Arial" w:hAnsi="Arial" w:cs="Arial"/>
                <w:sz w:val="20"/>
                <w:szCs w:val="20"/>
                <w:lang w:val="en-GB"/>
              </w:rPr>
              <w:t xml:space="preserve"> (25 </w:t>
            </w:r>
            <w:r w:rsidR="00D62011" w:rsidRPr="009B39EC">
              <w:rPr>
                <w:rFonts w:ascii="Arial" w:hAnsi="Arial" w:cs="Arial"/>
                <w:sz w:val="20"/>
                <w:szCs w:val="20"/>
                <w:lang w:val="en-GB"/>
              </w:rPr>
              <w:t>November-</w:t>
            </w:r>
            <w:r w:rsidR="00111FD4" w:rsidRPr="009B39EC">
              <w:rPr>
                <w:rFonts w:ascii="Arial" w:hAnsi="Arial" w:cs="Arial"/>
                <w:sz w:val="20"/>
                <w:szCs w:val="20"/>
                <w:lang w:val="en-GB"/>
              </w:rPr>
              <w:t xml:space="preserve">10 </w:t>
            </w:r>
            <w:r w:rsidR="00D62011" w:rsidRPr="009B39EC">
              <w:rPr>
                <w:rFonts w:ascii="Arial" w:hAnsi="Arial" w:cs="Arial"/>
                <w:sz w:val="20"/>
                <w:szCs w:val="20"/>
                <w:lang w:val="en-GB"/>
              </w:rPr>
              <w:t>December</w:t>
            </w:r>
            <w:r w:rsidR="00111FD4" w:rsidRPr="009B39EC">
              <w:rPr>
                <w:rFonts w:ascii="Arial" w:hAnsi="Arial" w:cs="Arial"/>
                <w:sz w:val="20"/>
                <w:szCs w:val="20"/>
                <w:lang w:val="en-GB"/>
              </w:rPr>
              <w:t>)</w:t>
            </w:r>
            <w:r w:rsidR="00694FCA" w:rsidRPr="009B39EC">
              <w:rPr>
                <w:rFonts w:ascii="Arial" w:hAnsi="Arial" w:cs="Arial"/>
                <w:sz w:val="20"/>
                <w:szCs w:val="20"/>
                <w:lang w:val="en-GB"/>
              </w:rPr>
              <w:t xml:space="preserve"> and </w:t>
            </w:r>
            <w:r w:rsidR="00DF3616" w:rsidRPr="009B39EC">
              <w:rPr>
                <w:rFonts w:ascii="Arial" w:hAnsi="Arial" w:cs="Arial"/>
                <w:sz w:val="20"/>
                <w:szCs w:val="20"/>
                <w:lang w:val="en-GB"/>
              </w:rPr>
              <w:t xml:space="preserve">the contribution of </w:t>
            </w:r>
            <w:r w:rsidR="00D62011" w:rsidRPr="009B39EC">
              <w:rPr>
                <w:rFonts w:ascii="Arial" w:hAnsi="Arial" w:cs="Arial"/>
                <w:sz w:val="20"/>
                <w:szCs w:val="20"/>
                <w:lang w:val="en-GB"/>
              </w:rPr>
              <w:t xml:space="preserve">civil society organisations </w:t>
            </w:r>
            <w:r w:rsidR="00DF3616" w:rsidRPr="009B39EC">
              <w:rPr>
                <w:rFonts w:ascii="Arial" w:hAnsi="Arial" w:cs="Arial"/>
                <w:sz w:val="20"/>
                <w:szCs w:val="20"/>
                <w:lang w:val="en-GB"/>
              </w:rPr>
              <w:t xml:space="preserve">in these campaigns has </w:t>
            </w:r>
            <w:r w:rsidR="00846A69" w:rsidRPr="009B39EC">
              <w:rPr>
                <w:rFonts w:ascii="Arial" w:hAnsi="Arial" w:cs="Arial"/>
                <w:sz w:val="20"/>
                <w:szCs w:val="20"/>
                <w:lang w:val="en-GB"/>
              </w:rPr>
              <w:t>been</w:t>
            </w:r>
            <w:r w:rsidR="00DF3616" w:rsidRPr="009B39EC">
              <w:rPr>
                <w:rFonts w:ascii="Arial" w:hAnsi="Arial" w:cs="Arial"/>
                <w:sz w:val="20"/>
                <w:szCs w:val="20"/>
                <w:lang w:val="en-GB"/>
              </w:rPr>
              <w:t xml:space="preserve"> significant</w:t>
            </w:r>
            <w:r w:rsidR="00111FD4" w:rsidRPr="009B39EC">
              <w:rPr>
                <w:rFonts w:ascii="Arial" w:hAnsi="Arial" w:cs="Arial"/>
                <w:sz w:val="20"/>
                <w:szCs w:val="20"/>
                <w:lang w:val="en-GB"/>
              </w:rPr>
              <w:t xml:space="preserve">. </w:t>
            </w:r>
          </w:p>
          <w:p w14:paraId="590BDF2E" w14:textId="77777777" w:rsidR="00111FD4" w:rsidRPr="009B39EC" w:rsidRDefault="00111FD4" w:rsidP="00CA765E">
            <w:pPr>
              <w:jc w:val="both"/>
              <w:rPr>
                <w:rFonts w:ascii="Arial" w:hAnsi="Arial" w:cs="Arial"/>
                <w:sz w:val="20"/>
                <w:szCs w:val="20"/>
                <w:lang w:val="en-GB"/>
              </w:rPr>
            </w:pPr>
          </w:p>
          <w:p w14:paraId="247A355A" w14:textId="1DB817BC" w:rsidR="008870C3" w:rsidRPr="009B39EC" w:rsidRDefault="00F13235" w:rsidP="00CA765E">
            <w:pPr>
              <w:jc w:val="both"/>
              <w:rPr>
                <w:rFonts w:ascii="Arial" w:hAnsi="Arial" w:cs="Arial"/>
                <w:sz w:val="20"/>
                <w:szCs w:val="20"/>
                <w:lang w:val="en-GB"/>
              </w:rPr>
            </w:pPr>
            <w:r w:rsidRPr="009B39EC">
              <w:rPr>
                <w:rFonts w:ascii="Arial" w:hAnsi="Arial" w:cs="Arial"/>
                <w:b/>
                <w:bCs/>
                <w:sz w:val="20"/>
                <w:szCs w:val="20"/>
                <w:lang w:val="en-GB"/>
              </w:rPr>
              <w:t>Regarding</w:t>
            </w:r>
            <w:r w:rsidR="00D62011" w:rsidRPr="009B39EC">
              <w:rPr>
                <w:rFonts w:ascii="Arial" w:hAnsi="Arial" w:cs="Arial"/>
                <w:b/>
                <w:bCs/>
                <w:sz w:val="20"/>
                <w:szCs w:val="20"/>
                <w:lang w:val="en-GB"/>
              </w:rPr>
              <w:t xml:space="preserve"> non-profit organisations provid</w:t>
            </w:r>
            <w:r w:rsidR="00DF3616" w:rsidRPr="009B39EC">
              <w:rPr>
                <w:rFonts w:ascii="Arial" w:hAnsi="Arial" w:cs="Arial"/>
                <w:b/>
                <w:bCs/>
                <w:sz w:val="20"/>
                <w:szCs w:val="20"/>
                <w:lang w:val="en-GB"/>
              </w:rPr>
              <w:t>ing</w:t>
            </w:r>
            <w:r w:rsidR="00D62011" w:rsidRPr="009B39EC">
              <w:rPr>
                <w:rFonts w:ascii="Arial" w:hAnsi="Arial" w:cs="Arial"/>
                <w:b/>
                <w:bCs/>
                <w:sz w:val="20"/>
                <w:szCs w:val="20"/>
                <w:lang w:val="en-GB"/>
              </w:rPr>
              <w:t xml:space="preserve"> legal services</w:t>
            </w:r>
            <w:r w:rsidR="001D5DCD" w:rsidRPr="009B39EC">
              <w:rPr>
                <w:rFonts w:ascii="Arial" w:hAnsi="Arial" w:cs="Arial"/>
                <w:b/>
                <w:bCs/>
                <w:sz w:val="20"/>
                <w:szCs w:val="20"/>
                <w:lang w:val="en-GB"/>
              </w:rPr>
              <w:t>:</w:t>
            </w:r>
            <w:r w:rsidR="008870C3" w:rsidRPr="009B39EC">
              <w:rPr>
                <w:rFonts w:ascii="Arial" w:hAnsi="Arial" w:cs="Arial"/>
                <w:sz w:val="20"/>
                <w:szCs w:val="20"/>
                <w:lang w:val="en-GB"/>
              </w:rPr>
              <w:t xml:space="preserve"> </w:t>
            </w:r>
            <w:r w:rsidR="00D62011" w:rsidRPr="009B39EC">
              <w:rPr>
                <w:rFonts w:ascii="Arial" w:hAnsi="Arial" w:cs="Arial"/>
                <w:sz w:val="20"/>
                <w:szCs w:val="20"/>
                <w:lang w:val="en-GB"/>
              </w:rPr>
              <w:t>following the adoption of Law No</w:t>
            </w:r>
            <w:r w:rsidR="008870C3" w:rsidRPr="009B39EC">
              <w:rPr>
                <w:rFonts w:ascii="Arial" w:hAnsi="Arial" w:cs="Arial"/>
                <w:sz w:val="20"/>
                <w:szCs w:val="20"/>
                <w:lang w:val="en-GB"/>
              </w:rPr>
              <w:t>. 111</w:t>
            </w:r>
            <w:r w:rsidR="001D5DCD" w:rsidRPr="009B39EC">
              <w:rPr>
                <w:rFonts w:ascii="Arial" w:hAnsi="Arial" w:cs="Arial"/>
                <w:sz w:val="20"/>
                <w:szCs w:val="20"/>
                <w:lang w:val="en-GB"/>
              </w:rPr>
              <w:t>,</w:t>
            </w:r>
            <w:r w:rsidR="008870C3" w:rsidRPr="009B39EC">
              <w:rPr>
                <w:rFonts w:ascii="Arial" w:hAnsi="Arial" w:cs="Arial"/>
                <w:sz w:val="20"/>
                <w:szCs w:val="20"/>
                <w:lang w:val="en-GB"/>
              </w:rPr>
              <w:t xml:space="preserve"> dat</w:t>
            </w:r>
            <w:r w:rsidR="00D62011" w:rsidRPr="009B39EC">
              <w:rPr>
                <w:rFonts w:ascii="Arial" w:hAnsi="Arial" w:cs="Arial"/>
                <w:sz w:val="20"/>
                <w:szCs w:val="20"/>
                <w:lang w:val="en-GB"/>
              </w:rPr>
              <w:t>ed</w:t>
            </w:r>
            <w:r w:rsidR="008870C3" w:rsidRPr="009B39EC">
              <w:rPr>
                <w:rFonts w:ascii="Arial" w:hAnsi="Arial" w:cs="Arial"/>
                <w:sz w:val="20"/>
                <w:szCs w:val="20"/>
                <w:lang w:val="en-GB"/>
              </w:rPr>
              <w:t xml:space="preserve"> 14</w:t>
            </w:r>
            <w:r w:rsidR="0004428B" w:rsidRPr="009B39EC">
              <w:rPr>
                <w:rFonts w:ascii="Arial" w:hAnsi="Arial" w:cs="Arial"/>
                <w:sz w:val="20"/>
                <w:szCs w:val="20"/>
                <w:lang w:val="en-GB"/>
              </w:rPr>
              <w:t xml:space="preserve"> December </w:t>
            </w:r>
            <w:r w:rsidR="008870C3" w:rsidRPr="009B39EC">
              <w:rPr>
                <w:rFonts w:ascii="Arial" w:hAnsi="Arial" w:cs="Arial"/>
                <w:sz w:val="20"/>
                <w:szCs w:val="20"/>
                <w:lang w:val="en-GB"/>
              </w:rPr>
              <w:t>2017</w:t>
            </w:r>
            <w:r w:rsidR="001D5DCD" w:rsidRPr="009B39EC">
              <w:rPr>
                <w:rFonts w:ascii="Arial" w:hAnsi="Arial" w:cs="Arial"/>
                <w:sz w:val="20"/>
                <w:szCs w:val="20"/>
                <w:lang w:val="en-GB"/>
              </w:rPr>
              <w:t>,</w:t>
            </w:r>
            <w:r w:rsidR="008870C3" w:rsidRPr="009B39EC">
              <w:rPr>
                <w:rFonts w:ascii="Arial" w:hAnsi="Arial" w:cs="Arial"/>
                <w:sz w:val="20"/>
                <w:szCs w:val="20"/>
                <w:lang w:val="en-GB"/>
              </w:rPr>
              <w:t xml:space="preserve"> “</w:t>
            </w:r>
            <w:r w:rsidR="00D62011" w:rsidRPr="009B39EC">
              <w:rPr>
                <w:rFonts w:ascii="Arial" w:hAnsi="Arial" w:cs="Arial"/>
                <w:sz w:val="20"/>
                <w:szCs w:val="20"/>
                <w:lang w:val="en-GB"/>
              </w:rPr>
              <w:t xml:space="preserve">On </w:t>
            </w:r>
            <w:r w:rsidR="001D5DCD" w:rsidRPr="009B39EC">
              <w:rPr>
                <w:rFonts w:ascii="Arial" w:hAnsi="Arial" w:cs="Arial"/>
                <w:sz w:val="20"/>
                <w:szCs w:val="20"/>
                <w:lang w:val="en-GB"/>
              </w:rPr>
              <w:t>l</w:t>
            </w:r>
            <w:r w:rsidR="00D62011" w:rsidRPr="009B39EC">
              <w:rPr>
                <w:rFonts w:ascii="Arial" w:hAnsi="Arial" w:cs="Arial"/>
                <w:sz w:val="20"/>
                <w:szCs w:val="20"/>
                <w:lang w:val="en-GB"/>
              </w:rPr>
              <w:t xml:space="preserve">egal </w:t>
            </w:r>
            <w:r w:rsidR="001D5DCD" w:rsidRPr="009B39EC">
              <w:rPr>
                <w:rFonts w:ascii="Arial" w:hAnsi="Arial" w:cs="Arial"/>
                <w:sz w:val="20"/>
                <w:szCs w:val="20"/>
                <w:lang w:val="en-GB"/>
              </w:rPr>
              <w:t>a</w:t>
            </w:r>
            <w:r w:rsidR="00D62011" w:rsidRPr="009B39EC">
              <w:rPr>
                <w:rFonts w:ascii="Arial" w:hAnsi="Arial" w:cs="Arial"/>
                <w:sz w:val="20"/>
                <w:szCs w:val="20"/>
                <w:lang w:val="en-GB"/>
              </w:rPr>
              <w:t xml:space="preserve">id </w:t>
            </w:r>
            <w:r w:rsidR="001D5DCD" w:rsidRPr="009B39EC">
              <w:rPr>
                <w:rFonts w:ascii="Arial" w:hAnsi="Arial" w:cs="Arial"/>
                <w:sz w:val="20"/>
                <w:szCs w:val="20"/>
                <w:lang w:val="en-GB"/>
              </w:rPr>
              <w:t>g</w:t>
            </w:r>
            <w:r w:rsidR="00D62011" w:rsidRPr="009B39EC">
              <w:rPr>
                <w:rFonts w:ascii="Arial" w:hAnsi="Arial" w:cs="Arial"/>
                <w:sz w:val="20"/>
                <w:szCs w:val="20"/>
                <w:lang w:val="en-GB"/>
              </w:rPr>
              <w:t xml:space="preserve">uaranteed by the </w:t>
            </w:r>
            <w:r w:rsidR="001D5DCD" w:rsidRPr="009B39EC">
              <w:rPr>
                <w:rFonts w:ascii="Arial" w:hAnsi="Arial" w:cs="Arial"/>
                <w:sz w:val="20"/>
                <w:szCs w:val="20"/>
                <w:lang w:val="en-GB"/>
              </w:rPr>
              <w:t>s</w:t>
            </w:r>
            <w:r w:rsidR="00D62011" w:rsidRPr="009B39EC">
              <w:rPr>
                <w:rFonts w:ascii="Arial" w:hAnsi="Arial" w:cs="Arial"/>
                <w:sz w:val="20"/>
                <w:szCs w:val="20"/>
                <w:lang w:val="en-GB"/>
              </w:rPr>
              <w:t>tate</w:t>
            </w:r>
            <w:r w:rsidR="008870C3" w:rsidRPr="009B39EC">
              <w:rPr>
                <w:rFonts w:ascii="Arial" w:hAnsi="Arial" w:cs="Arial"/>
                <w:sz w:val="20"/>
                <w:szCs w:val="20"/>
                <w:lang w:val="en-GB"/>
              </w:rPr>
              <w:t xml:space="preserve">”, </w:t>
            </w:r>
            <w:r w:rsidR="0004428B" w:rsidRPr="009B39EC">
              <w:rPr>
                <w:rFonts w:ascii="Arial" w:hAnsi="Arial" w:cs="Arial"/>
                <w:sz w:val="20"/>
                <w:szCs w:val="20"/>
                <w:lang w:val="en-GB"/>
              </w:rPr>
              <w:t xml:space="preserve">the adoption of </w:t>
            </w:r>
            <w:r w:rsidR="00440756" w:rsidRPr="009B39EC">
              <w:rPr>
                <w:rFonts w:ascii="Arial" w:hAnsi="Arial" w:cs="Arial"/>
                <w:sz w:val="20"/>
                <w:szCs w:val="20"/>
                <w:lang w:val="en-GB"/>
              </w:rPr>
              <w:t>DCoM</w:t>
            </w:r>
            <w:r w:rsidR="00844279" w:rsidRPr="009B39EC">
              <w:rPr>
                <w:rFonts w:ascii="Arial" w:hAnsi="Arial" w:cs="Arial"/>
                <w:sz w:val="20"/>
                <w:szCs w:val="20"/>
                <w:lang w:val="en-GB"/>
              </w:rPr>
              <w:t xml:space="preserve"> </w:t>
            </w:r>
            <w:r w:rsidR="00D62011" w:rsidRPr="009B39EC">
              <w:rPr>
                <w:rFonts w:ascii="Arial" w:hAnsi="Arial" w:cs="Arial"/>
                <w:sz w:val="20"/>
                <w:szCs w:val="20"/>
                <w:lang w:val="en-GB"/>
              </w:rPr>
              <w:t xml:space="preserve">No. </w:t>
            </w:r>
            <w:r w:rsidR="00844279" w:rsidRPr="009B39EC">
              <w:rPr>
                <w:rFonts w:ascii="Arial" w:hAnsi="Arial" w:cs="Arial"/>
                <w:sz w:val="20"/>
                <w:szCs w:val="20"/>
                <w:lang w:val="en-GB"/>
              </w:rPr>
              <w:t>55</w:t>
            </w:r>
            <w:r w:rsidR="001D5DCD" w:rsidRPr="009B39EC">
              <w:rPr>
                <w:rFonts w:ascii="Arial" w:hAnsi="Arial" w:cs="Arial"/>
                <w:sz w:val="20"/>
                <w:szCs w:val="20"/>
                <w:lang w:val="en-GB"/>
              </w:rPr>
              <w:t xml:space="preserve">, </w:t>
            </w:r>
            <w:r w:rsidR="00844279" w:rsidRPr="009B39EC">
              <w:rPr>
                <w:rFonts w:ascii="Arial" w:hAnsi="Arial" w:cs="Arial"/>
                <w:sz w:val="20"/>
                <w:szCs w:val="20"/>
                <w:lang w:val="en-GB"/>
              </w:rPr>
              <w:t>dat</w:t>
            </w:r>
            <w:r w:rsidR="00D62011" w:rsidRPr="009B39EC">
              <w:rPr>
                <w:rFonts w:ascii="Arial" w:hAnsi="Arial" w:cs="Arial"/>
                <w:sz w:val="20"/>
                <w:szCs w:val="20"/>
                <w:lang w:val="en-GB"/>
              </w:rPr>
              <w:t>ed</w:t>
            </w:r>
            <w:r w:rsidR="00844279" w:rsidRPr="009B39EC">
              <w:rPr>
                <w:rFonts w:ascii="Arial" w:hAnsi="Arial" w:cs="Arial"/>
                <w:sz w:val="20"/>
                <w:szCs w:val="20"/>
                <w:lang w:val="en-GB"/>
              </w:rPr>
              <w:t xml:space="preserve"> 06</w:t>
            </w:r>
            <w:r w:rsidR="0004428B" w:rsidRPr="009B39EC">
              <w:rPr>
                <w:rFonts w:ascii="Arial" w:hAnsi="Arial" w:cs="Arial"/>
                <w:sz w:val="20"/>
                <w:szCs w:val="20"/>
                <w:lang w:val="en-GB"/>
              </w:rPr>
              <w:t xml:space="preserve"> February </w:t>
            </w:r>
            <w:r w:rsidR="00844279" w:rsidRPr="009B39EC">
              <w:rPr>
                <w:rFonts w:ascii="Arial" w:hAnsi="Arial" w:cs="Arial"/>
                <w:sz w:val="20"/>
                <w:szCs w:val="20"/>
                <w:lang w:val="en-GB"/>
              </w:rPr>
              <w:t>2019</w:t>
            </w:r>
            <w:r w:rsidR="001D5DCD" w:rsidRPr="009B39EC">
              <w:rPr>
                <w:rFonts w:ascii="Arial" w:hAnsi="Arial" w:cs="Arial"/>
                <w:sz w:val="20"/>
                <w:szCs w:val="20"/>
                <w:lang w:val="en-GB"/>
              </w:rPr>
              <w:t>,</w:t>
            </w:r>
            <w:r w:rsidR="00D62011" w:rsidRPr="009B39EC">
              <w:rPr>
                <w:rFonts w:ascii="Arial" w:hAnsi="Arial" w:cs="Arial"/>
                <w:sz w:val="20"/>
                <w:szCs w:val="20"/>
                <w:lang w:val="en-GB"/>
              </w:rPr>
              <w:t xml:space="preserve"> </w:t>
            </w:r>
            <w:r w:rsidR="00844279" w:rsidRPr="009B39EC">
              <w:rPr>
                <w:rFonts w:ascii="Arial" w:hAnsi="Arial" w:cs="Arial"/>
                <w:sz w:val="20"/>
                <w:szCs w:val="20"/>
                <w:lang w:val="en-GB"/>
              </w:rPr>
              <w:t>“</w:t>
            </w:r>
            <w:r w:rsidR="00D62011" w:rsidRPr="009B39EC">
              <w:rPr>
                <w:rFonts w:ascii="Arial" w:hAnsi="Arial" w:cs="Arial"/>
                <w:sz w:val="20"/>
                <w:szCs w:val="20"/>
                <w:lang w:val="en-GB"/>
              </w:rPr>
              <w:t xml:space="preserve">On </w:t>
            </w:r>
            <w:r w:rsidR="0004428B" w:rsidRPr="009B39EC">
              <w:rPr>
                <w:rFonts w:ascii="Arial" w:hAnsi="Arial" w:cs="Arial"/>
                <w:sz w:val="20"/>
                <w:szCs w:val="20"/>
                <w:lang w:val="en-GB"/>
              </w:rPr>
              <w:t xml:space="preserve">determining the </w:t>
            </w:r>
            <w:r w:rsidR="00D62011" w:rsidRPr="009B39EC">
              <w:rPr>
                <w:rFonts w:ascii="Arial" w:hAnsi="Arial" w:cs="Arial"/>
                <w:sz w:val="20"/>
                <w:szCs w:val="20"/>
                <w:lang w:val="en-GB"/>
              </w:rPr>
              <w:t>procedures and documentation for autho</w:t>
            </w:r>
            <w:r w:rsidR="0004428B" w:rsidRPr="009B39EC">
              <w:rPr>
                <w:rFonts w:ascii="Arial" w:hAnsi="Arial" w:cs="Arial"/>
                <w:sz w:val="20"/>
                <w:szCs w:val="20"/>
                <w:lang w:val="en-GB"/>
              </w:rPr>
              <w:t xml:space="preserve">rising non-profit organisations providing primary legal aid guaranteed by the State” and </w:t>
            </w:r>
            <w:r w:rsidR="001D5DCD" w:rsidRPr="009B39EC">
              <w:rPr>
                <w:rFonts w:ascii="Arial" w:hAnsi="Arial" w:cs="Arial"/>
                <w:sz w:val="20"/>
                <w:szCs w:val="20"/>
                <w:lang w:val="en-GB"/>
              </w:rPr>
              <w:t xml:space="preserve">the adoption </w:t>
            </w:r>
            <w:r w:rsidR="0004428B" w:rsidRPr="009B39EC">
              <w:rPr>
                <w:rFonts w:ascii="Arial" w:hAnsi="Arial" w:cs="Arial"/>
                <w:sz w:val="20"/>
                <w:szCs w:val="20"/>
                <w:lang w:val="en-GB"/>
              </w:rPr>
              <w:t xml:space="preserve">of </w:t>
            </w:r>
            <w:r w:rsidR="00440756" w:rsidRPr="009B39EC">
              <w:rPr>
                <w:rFonts w:ascii="Arial" w:hAnsi="Arial" w:cs="Arial"/>
                <w:sz w:val="20"/>
                <w:szCs w:val="20"/>
                <w:lang w:val="en-GB"/>
              </w:rPr>
              <w:t>DCoM</w:t>
            </w:r>
            <w:r w:rsidR="008870C3" w:rsidRPr="009B39EC">
              <w:rPr>
                <w:rFonts w:ascii="Arial" w:hAnsi="Arial" w:cs="Arial"/>
                <w:sz w:val="20"/>
                <w:szCs w:val="20"/>
                <w:lang w:val="en-GB"/>
              </w:rPr>
              <w:t xml:space="preserve"> </w:t>
            </w:r>
            <w:r w:rsidR="0004428B" w:rsidRPr="009B39EC">
              <w:rPr>
                <w:rFonts w:ascii="Arial" w:hAnsi="Arial" w:cs="Arial"/>
                <w:sz w:val="20"/>
                <w:szCs w:val="20"/>
                <w:lang w:val="en-GB"/>
              </w:rPr>
              <w:t>No</w:t>
            </w:r>
            <w:r w:rsidR="008870C3" w:rsidRPr="009B39EC">
              <w:rPr>
                <w:rFonts w:ascii="Arial" w:hAnsi="Arial" w:cs="Arial"/>
                <w:sz w:val="20"/>
                <w:szCs w:val="20"/>
                <w:lang w:val="en-GB"/>
              </w:rPr>
              <w:t>. 110</w:t>
            </w:r>
            <w:r w:rsidR="0004428B" w:rsidRPr="009B39EC">
              <w:rPr>
                <w:rFonts w:ascii="Arial" w:hAnsi="Arial" w:cs="Arial"/>
                <w:sz w:val="20"/>
                <w:szCs w:val="20"/>
                <w:lang w:val="en-GB"/>
              </w:rPr>
              <w:t>, dated</w:t>
            </w:r>
            <w:r w:rsidR="008870C3" w:rsidRPr="009B39EC">
              <w:rPr>
                <w:rFonts w:ascii="Arial" w:hAnsi="Arial" w:cs="Arial"/>
                <w:sz w:val="20"/>
                <w:szCs w:val="20"/>
                <w:lang w:val="en-GB"/>
              </w:rPr>
              <w:t xml:space="preserve"> 06</w:t>
            </w:r>
            <w:r w:rsidR="0004428B" w:rsidRPr="009B39EC">
              <w:rPr>
                <w:rFonts w:ascii="Arial" w:hAnsi="Arial" w:cs="Arial"/>
                <w:sz w:val="20"/>
                <w:szCs w:val="20"/>
                <w:lang w:val="en-GB"/>
              </w:rPr>
              <w:t xml:space="preserve"> March </w:t>
            </w:r>
            <w:r w:rsidR="008870C3" w:rsidRPr="009B39EC">
              <w:rPr>
                <w:rFonts w:ascii="Arial" w:hAnsi="Arial" w:cs="Arial"/>
                <w:sz w:val="20"/>
                <w:szCs w:val="20"/>
                <w:lang w:val="en-GB"/>
              </w:rPr>
              <w:t>2019</w:t>
            </w:r>
            <w:r w:rsidR="001D5DCD" w:rsidRPr="009B39EC">
              <w:rPr>
                <w:rFonts w:ascii="Arial" w:hAnsi="Arial" w:cs="Arial"/>
                <w:sz w:val="20"/>
                <w:szCs w:val="20"/>
                <w:lang w:val="en-GB"/>
              </w:rPr>
              <w:t>,</w:t>
            </w:r>
            <w:r w:rsidR="008870C3" w:rsidRPr="009B39EC">
              <w:rPr>
                <w:rFonts w:ascii="Arial" w:hAnsi="Arial" w:cs="Arial"/>
                <w:sz w:val="20"/>
                <w:szCs w:val="20"/>
                <w:lang w:val="en-GB"/>
              </w:rPr>
              <w:t xml:space="preserve"> “</w:t>
            </w:r>
            <w:r w:rsidR="0004428B" w:rsidRPr="009B39EC">
              <w:rPr>
                <w:rFonts w:ascii="Arial" w:hAnsi="Arial" w:cs="Arial"/>
                <w:sz w:val="20"/>
                <w:szCs w:val="20"/>
                <w:lang w:val="en-GB"/>
              </w:rPr>
              <w:t xml:space="preserve">On </w:t>
            </w:r>
            <w:r w:rsidR="00DA26FE" w:rsidRPr="009B39EC">
              <w:rPr>
                <w:rFonts w:ascii="Arial" w:hAnsi="Arial" w:cs="Arial"/>
                <w:sz w:val="20"/>
                <w:szCs w:val="20"/>
                <w:lang w:val="en-GB"/>
              </w:rPr>
              <w:t>d</w:t>
            </w:r>
            <w:r w:rsidR="0004428B" w:rsidRPr="009B39EC">
              <w:rPr>
                <w:rFonts w:ascii="Arial" w:hAnsi="Arial" w:cs="Arial"/>
                <w:sz w:val="20"/>
                <w:szCs w:val="20"/>
                <w:lang w:val="en-GB"/>
              </w:rPr>
              <w:t>etermining the procedures and rules for the selection of non-profit organisations authorised to provide primary legal aid guaranteed by the State, in receipt of funds from the state budget, and the manner of their funding</w:t>
            </w:r>
            <w:r w:rsidR="00844279" w:rsidRPr="009B39EC">
              <w:rPr>
                <w:rFonts w:ascii="Arial" w:hAnsi="Arial" w:cs="Arial"/>
                <w:sz w:val="20"/>
                <w:szCs w:val="20"/>
                <w:lang w:val="en-GB"/>
              </w:rPr>
              <w:t xml:space="preserve">”. </w:t>
            </w:r>
            <w:r w:rsidR="00DA26FE" w:rsidRPr="009B39EC">
              <w:rPr>
                <w:rFonts w:ascii="Arial" w:hAnsi="Arial" w:cs="Arial"/>
                <w:sz w:val="20"/>
                <w:szCs w:val="20"/>
                <w:lang w:val="en-GB"/>
              </w:rPr>
              <w:t xml:space="preserve">On this basis, </w:t>
            </w:r>
            <w:r w:rsidR="0004428B" w:rsidRPr="009B39EC">
              <w:rPr>
                <w:rFonts w:ascii="Arial" w:hAnsi="Arial" w:cs="Arial"/>
                <w:sz w:val="20"/>
                <w:szCs w:val="20"/>
                <w:lang w:val="en-GB"/>
              </w:rPr>
              <w:t xml:space="preserve">on </w:t>
            </w:r>
            <w:r w:rsidR="00844279" w:rsidRPr="009B39EC">
              <w:rPr>
                <w:rFonts w:ascii="Arial" w:hAnsi="Arial" w:cs="Arial"/>
                <w:sz w:val="20"/>
                <w:szCs w:val="20"/>
                <w:lang w:val="en-GB"/>
              </w:rPr>
              <w:t>10</w:t>
            </w:r>
            <w:r w:rsidR="0004428B" w:rsidRPr="009B39EC">
              <w:rPr>
                <w:rFonts w:ascii="Arial" w:hAnsi="Arial" w:cs="Arial"/>
                <w:sz w:val="20"/>
                <w:szCs w:val="20"/>
                <w:lang w:val="en-GB"/>
              </w:rPr>
              <w:t xml:space="preserve"> September </w:t>
            </w:r>
            <w:r w:rsidR="00844279" w:rsidRPr="009B39EC">
              <w:rPr>
                <w:rFonts w:ascii="Arial" w:hAnsi="Arial" w:cs="Arial"/>
                <w:sz w:val="20"/>
                <w:szCs w:val="20"/>
                <w:lang w:val="en-GB"/>
              </w:rPr>
              <w:t>2019</w:t>
            </w:r>
            <w:r w:rsidR="00DA26FE" w:rsidRPr="009B39EC">
              <w:rPr>
                <w:rFonts w:ascii="Arial" w:hAnsi="Arial" w:cs="Arial"/>
                <w:sz w:val="20"/>
                <w:szCs w:val="20"/>
                <w:lang w:val="en-GB"/>
              </w:rPr>
              <w:t xml:space="preserve">, a total 12 (twelve) civil society organisations were </w:t>
            </w:r>
            <w:r w:rsidR="00DA26FE" w:rsidRPr="009B39EC">
              <w:rPr>
                <w:rFonts w:ascii="Arial" w:hAnsi="Arial" w:cs="Arial"/>
                <w:sz w:val="20"/>
                <w:szCs w:val="20"/>
                <w:lang w:val="en-GB"/>
              </w:rPr>
              <w:lastRenderedPageBreak/>
              <w:t>selected to provide legal services covered by the legal aid scheme</w:t>
            </w:r>
            <w:r w:rsidR="00844279" w:rsidRPr="009B39EC">
              <w:rPr>
                <w:rStyle w:val="FootnoteReference"/>
                <w:rFonts w:ascii="Arial" w:hAnsi="Arial" w:cs="Arial"/>
                <w:sz w:val="20"/>
                <w:szCs w:val="20"/>
                <w:lang w:val="en-GB"/>
              </w:rPr>
              <w:footnoteReference w:id="6"/>
            </w:r>
            <w:r w:rsidR="00844279" w:rsidRPr="009B39EC">
              <w:rPr>
                <w:rFonts w:ascii="Arial" w:hAnsi="Arial" w:cs="Arial"/>
                <w:sz w:val="20"/>
                <w:szCs w:val="20"/>
                <w:lang w:val="en-GB"/>
              </w:rPr>
              <w:t xml:space="preserve">. </w:t>
            </w:r>
            <w:r w:rsidR="00DA26FE" w:rsidRPr="009B39EC">
              <w:rPr>
                <w:rFonts w:ascii="Arial" w:hAnsi="Arial" w:cs="Arial"/>
                <w:sz w:val="20"/>
                <w:szCs w:val="20"/>
                <w:lang w:val="en-GB"/>
              </w:rPr>
              <w:t>In addition</w:t>
            </w:r>
            <w:r w:rsidR="00FB1E6F" w:rsidRPr="009B39EC">
              <w:rPr>
                <w:rFonts w:ascii="Arial" w:hAnsi="Arial" w:cs="Arial"/>
                <w:sz w:val="20"/>
                <w:szCs w:val="20"/>
                <w:lang w:val="en-GB"/>
              </w:rPr>
              <w:t>, an online platform has been set up (</w:t>
            </w:r>
            <w:r w:rsidR="00B70491" w:rsidRPr="009B39EC">
              <w:rPr>
                <w:rFonts w:ascii="Arial" w:hAnsi="Arial" w:cs="Arial"/>
                <w:color w:val="2E74B5" w:themeColor="accent5" w:themeShade="BF"/>
                <w:sz w:val="20"/>
                <w:szCs w:val="20"/>
                <w:u w:val="single"/>
                <w:lang w:val="en-GB"/>
              </w:rPr>
              <w:t>juristi</w:t>
            </w:r>
            <w:r w:rsidR="006D7998" w:rsidRPr="009B39EC">
              <w:rPr>
                <w:rFonts w:ascii="Arial" w:hAnsi="Arial" w:cs="Arial"/>
                <w:color w:val="2E74B5" w:themeColor="accent5" w:themeShade="BF"/>
                <w:sz w:val="20"/>
                <w:szCs w:val="20"/>
                <w:u w:val="single"/>
                <w:lang w:val="en-GB"/>
              </w:rPr>
              <w:t>online</w:t>
            </w:r>
            <w:r w:rsidR="00B70491" w:rsidRPr="009B39EC">
              <w:rPr>
                <w:rFonts w:ascii="Arial" w:hAnsi="Arial" w:cs="Arial"/>
                <w:color w:val="2E74B5" w:themeColor="accent5" w:themeShade="BF"/>
                <w:sz w:val="20"/>
                <w:szCs w:val="20"/>
                <w:u w:val="single"/>
                <w:lang w:val="en-GB"/>
              </w:rPr>
              <w:t>.al</w:t>
            </w:r>
            <w:r w:rsidR="00FB1E6F" w:rsidRPr="009B39EC">
              <w:rPr>
                <w:rFonts w:ascii="Arial" w:hAnsi="Arial" w:cs="Arial"/>
                <w:color w:val="000000" w:themeColor="text1"/>
                <w:sz w:val="20"/>
                <w:szCs w:val="20"/>
                <w:lang w:val="en-GB"/>
              </w:rPr>
              <w:t xml:space="preserve">), a collaboration </w:t>
            </w:r>
            <w:r w:rsidR="006D7998" w:rsidRPr="009B39EC">
              <w:rPr>
                <w:rFonts w:ascii="Arial" w:hAnsi="Arial" w:cs="Arial"/>
                <w:color w:val="000000" w:themeColor="text1"/>
                <w:sz w:val="20"/>
                <w:szCs w:val="20"/>
                <w:lang w:val="en-GB"/>
              </w:rPr>
              <w:t>between</w:t>
            </w:r>
            <w:r w:rsidR="00FB1E6F" w:rsidRPr="009B39EC">
              <w:rPr>
                <w:rFonts w:ascii="Arial" w:hAnsi="Arial" w:cs="Arial"/>
                <w:color w:val="000000" w:themeColor="text1"/>
                <w:sz w:val="20"/>
                <w:szCs w:val="20"/>
                <w:lang w:val="en-GB"/>
              </w:rPr>
              <w:t xml:space="preserve"> the Ministry of Justice and the Open Society Foundation for Albania</w:t>
            </w:r>
            <w:r w:rsidR="00B70491" w:rsidRPr="009B39EC">
              <w:rPr>
                <w:rFonts w:ascii="Arial" w:hAnsi="Arial" w:cs="Arial"/>
                <w:sz w:val="20"/>
                <w:szCs w:val="20"/>
                <w:lang w:val="en-GB"/>
              </w:rPr>
              <w:t xml:space="preserve"> (OSFA). </w:t>
            </w:r>
            <w:r w:rsidR="006D7998" w:rsidRPr="009B39EC">
              <w:rPr>
                <w:rFonts w:ascii="Arial" w:hAnsi="Arial" w:cs="Arial"/>
                <w:sz w:val="20"/>
                <w:szCs w:val="20"/>
                <w:lang w:val="en-GB"/>
              </w:rPr>
              <w:t xml:space="preserve">The platform provides information, primary legal </w:t>
            </w:r>
            <w:proofErr w:type="gramStart"/>
            <w:r w:rsidR="006D7998" w:rsidRPr="009B39EC">
              <w:rPr>
                <w:rFonts w:ascii="Arial" w:hAnsi="Arial" w:cs="Arial"/>
                <w:sz w:val="20"/>
                <w:szCs w:val="20"/>
                <w:lang w:val="en-GB"/>
              </w:rPr>
              <w:t>assistance</w:t>
            </w:r>
            <w:proofErr w:type="gramEnd"/>
            <w:r w:rsidR="006D7998" w:rsidRPr="009B39EC">
              <w:rPr>
                <w:rFonts w:ascii="Arial" w:hAnsi="Arial" w:cs="Arial"/>
                <w:sz w:val="20"/>
                <w:szCs w:val="20"/>
                <w:lang w:val="en-GB"/>
              </w:rPr>
              <w:t xml:space="preserve"> and legal advice online, in a timely and efficient manner. Legal advice and information can also be </w:t>
            </w:r>
            <w:r w:rsidRPr="009B39EC">
              <w:rPr>
                <w:rFonts w:ascii="Arial" w:hAnsi="Arial" w:cs="Arial"/>
                <w:sz w:val="20"/>
                <w:szCs w:val="20"/>
                <w:lang w:val="en-GB"/>
              </w:rPr>
              <w:t xml:space="preserve">received by calling the free hotline </w:t>
            </w:r>
            <w:r w:rsidR="00B70491" w:rsidRPr="009B39EC">
              <w:rPr>
                <w:rFonts w:ascii="Arial" w:hAnsi="Arial" w:cs="Arial"/>
                <w:sz w:val="20"/>
                <w:szCs w:val="20"/>
                <w:lang w:val="en-GB"/>
              </w:rPr>
              <w:t>08001010.</w:t>
            </w:r>
          </w:p>
          <w:p w14:paraId="093B951D" w14:textId="4DD42AD6" w:rsidR="00C80F8B" w:rsidRPr="009B39EC" w:rsidRDefault="00C80F8B" w:rsidP="00CA765E">
            <w:pPr>
              <w:jc w:val="both"/>
              <w:rPr>
                <w:rFonts w:ascii="Arial" w:hAnsi="Arial" w:cs="Arial"/>
                <w:sz w:val="20"/>
                <w:szCs w:val="20"/>
                <w:lang w:val="en-GB"/>
              </w:rPr>
            </w:pPr>
          </w:p>
          <w:p w14:paraId="5F7C4183" w14:textId="4E176EA6" w:rsidR="00C80F8B" w:rsidRPr="009B39EC" w:rsidRDefault="001D5DCD" w:rsidP="00CA765E">
            <w:pPr>
              <w:jc w:val="both"/>
              <w:rPr>
                <w:rFonts w:ascii="Arial" w:hAnsi="Arial" w:cs="Arial"/>
                <w:sz w:val="20"/>
                <w:szCs w:val="20"/>
                <w:lang w:val="en-GB"/>
              </w:rPr>
            </w:pPr>
            <w:r w:rsidRPr="009B39EC">
              <w:rPr>
                <w:rFonts w:ascii="Arial" w:hAnsi="Arial" w:cs="Arial"/>
                <w:b/>
                <w:bCs/>
                <w:sz w:val="20"/>
                <w:szCs w:val="20"/>
                <w:lang w:val="en-GB"/>
              </w:rPr>
              <w:t>Regarding</w:t>
            </w:r>
            <w:r w:rsidR="00F13235" w:rsidRPr="009B39EC">
              <w:rPr>
                <w:rFonts w:ascii="Arial" w:hAnsi="Arial" w:cs="Arial"/>
                <w:b/>
                <w:bCs/>
                <w:sz w:val="20"/>
                <w:szCs w:val="20"/>
                <w:lang w:val="en-GB"/>
              </w:rPr>
              <w:t xml:space="preserve"> non-profit organisations providing specialised support services</w:t>
            </w:r>
            <w:r w:rsidR="00AA7E8F" w:rsidRPr="009B39EC">
              <w:rPr>
                <w:rFonts w:ascii="Arial" w:hAnsi="Arial" w:cs="Arial"/>
                <w:b/>
                <w:bCs/>
                <w:sz w:val="20"/>
                <w:szCs w:val="20"/>
                <w:lang w:val="en-GB"/>
              </w:rPr>
              <w:t xml:space="preserve"> in emergency or </w:t>
            </w:r>
            <w:r w:rsidR="00445CB5" w:rsidRPr="009B39EC">
              <w:rPr>
                <w:rFonts w:ascii="Arial" w:hAnsi="Arial" w:cs="Arial"/>
                <w:b/>
                <w:bCs/>
                <w:sz w:val="20"/>
                <w:szCs w:val="20"/>
                <w:lang w:val="en-GB"/>
              </w:rPr>
              <w:t>long-term</w:t>
            </w:r>
            <w:r w:rsidR="00AA7E8F" w:rsidRPr="009B39EC">
              <w:rPr>
                <w:rFonts w:ascii="Arial" w:hAnsi="Arial" w:cs="Arial"/>
                <w:b/>
                <w:bCs/>
                <w:sz w:val="20"/>
                <w:szCs w:val="20"/>
                <w:lang w:val="en-GB"/>
              </w:rPr>
              <w:t xml:space="preserve"> accommodation centres,</w:t>
            </w:r>
            <w:r w:rsidR="00F13235" w:rsidRPr="009B39EC">
              <w:rPr>
                <w:rFonts w:ascii="Arial" w:hAnsi="Arial" w:cs="Arial"/>
                <w:b/>
                <w:bCs/>
                <w:sz w:val="20"/>
                <w:szCs w:val="20"/>
                <w:lang w:val="en-GB"/>
              </w:rPr>
              <w:t xml:space="preserve"> </w:t>
            </w:r>
            <w:r w:rsidR="006D571B" w:rsidRPr="009B39EC">
              <w:rPr>
                <w:rFonts w:ascii="Arial" w:hAnsi="Arial" w:cs="Arial"/>
                <w:sz w:val="20"/>
                <w:szCs w:val="20"/>
                <w:lang w:val="en-GB"/>
              </w:rPr>
              <w:t>as already described in the answer to question</w:t>
            </w:r>
            <w:r w:rsidR="00C80F8B" w:rsidRPr="009B39EC">
              <w:rPr>
                <w:rFonts w:ascii="Arial" w:hAnsi="Arial" w:cs="Arial"/>
                <w:sz w:val="20"/>
                <w:szCs w:val="20"/>
                <w:lang w:val="en-GB"/>
              </w:rPr>
              <w:t xml:space="preserve"> 14.1</w:t>
            </w:r>
            <w:r w:rsidR="006D571B" w:rsidRPr="009B39EC">
              <w:rPr>
                <w:rFonts w:ascii="Arial" w:hAnsi="Arial" w:cs="Arial"/>
                <w:sz w:val="20"/>
                <w:szCs w:val="20"/>
                <w:lang w:val="en-GB"/>
              </w:rPr>
              <w:t xml:space="preserve"> – there is state support for these organisations and the </w:t>
            </w:r>
            <w:r w:rsidRPr="009B39EC">
              <w:rPr>
                <w:rFonts w:ascii="Arial" w:hAnsi="Arial" w:cs="Arial"/>
                <w:sz w:val="20"/>
                <w:szCs w:val="20"/>
                <w:lang w:val="en-GB"/>
              </w:rPr>
              <w:t>S</w:t>
            </w:r>
            <w:r w:rsidR="006D571B" w:rsidRPr="009B39EC">
              <w:rPr>
                <w:rFonts w:ascii="Arial" w:hAnsi="Arial" w:cs="Arial"/>
                <w:sz w:val="20"/>
                <w:szCs w:val="20"/>
                <w:lang w:val="en-GB"/>
              </w:rPr>
              <w:t xml:space="preserve">tate recognises and appreciates the essential role played by </w:t>
            </w:r>
            <w:r w:rsidR="00445CB5" w:rsidRPr="009B39EC">
              <w:rPr>
                <w:rFonts w:ascii="Arial" w:hAnsi="Arial" w:cs="Arial"/>
                <w:sz w:val="20"/>
                <w:szCs w:val="20"/>
                <w:lang w:val="en-GB"/>
              </w:rPr>
              <w:t>these organisations</w:t>
            </w:r>
            <w:r w:rsidR="005443F4" w:rsidRPr="009B39EC">
              <w:rPr>
                <w:rFonts w:ascii="Arial" w:hAnsi="Arial" w:cs="Arial"/>
                <w:sz w:val="20"/>
                <w:szCs w:val="20"/>
                <w:lang w:val="en-GB"/>
              </w:rPr>
              <w:t xml:space="preserve">. </w:t>
            </w:r>
            <w:r w:rsidR="006D571B" w:rsidRPr="009B39EC">
              <w:rPr>
                <w:rFonts w:ascii="Arial" w:hAnsi="Arial" w:cs="Arial"/>
                <w:sz w:val="20"/>
                <w:szCs w:val="20"/>
                <w:lang w:val="en-GB"/>
              </w:rPr>
              <w:t xml:space="preserve">The same can be said about organisations providing counselling services to adults and children, accommodation services for groups experiencing multiple discrimination, such as members of the </w:t>
            </w:r>
            <w:r w:rsidR="005443F4" w:rsidRPr="009B39EC">
              <w:rPr>
                <w:rFonts w:ascii="Arial" w:hAnsi="Arial" w:cs="Arial"/>
                <w:sz w:val="20"/>
                <w:szCs w:val="20"/>
                <w:lang w:val="en-GB"/>
              </w:rPr>
              <w:t>LGBTI+</w:t>
            </w:r>
            <w:r w:rsidR="006D571B" w:rsidRPr="009B39EC">
              <w:rPr>
                <w:rFonts w:ascii="Arial" w:hAnsi="Arial" w:cs="Arial"/>
                <w:sz w:val="20"/>
                <w:szCs w:val="20"/>
                <w:lang w:val="en-GB"/>
              </w:rPr>
              <w:t xml:space="preserve"> community</w:t>
            </w:r>
            <w:r w:rsidR="005443F4" w:rsidRPr="009B39EC">
              <w:rPr>
                <w:rFonts w:ascii="Arial" w:hAnsi="Arial" w:cs="Arial"/>
                <w:sz w:val="20"/>
                <w:szCs w:val="20"/>
                <w:lang w:val="en-GB"/>
              </w:rPr>
              <w:t>, et</w:t>
            </w:r>
            <w:r w:rsidR="006D571B" w:rsidRPr="009B39EC">
              <w:rPr>
                <w:rFonts w:ascii="Arial" w:hAnsi="Arial" w:cs="Arial"/>
                <w:sz w:val="20"/>
                <w:szCs w:val="20"/>
                <w:lang w:val="en-GB"/>
              </w:rPr>
              <w:t>c</w:t>
            </w:r>
            <w:r w:rsidR="005443F4" w:rsidRPr="009B39EC">
              <w:rPr>
                <w:rFonts w:ascii="Arial" w:hAnsi="Arial" w:cs="Arial"/>
                <w:sz w:val="20"/>
                <w:szCs w:val="20"/>
                <w:lang w:val="en-GB"/>
              </w:rPr>
              <w:t xml:space="preserve">. </w:t>
            </w:r>
          </w:p>
          <w:p w14:paraId="2EA61284" w14:textId="34211EC2" w:rsidR="007E23B8" w:rsidRPr="009B39EC" w:rsidRDefault="007E23B8" w:rsidP="00CA765E">
            <w:pPr>
              <w:jc w:val="both"/>
              <w:rPr>
                <w:rFonts w:ascii="Arial" w:hAnsi="Arial" w:cs="Arial"/>
                <w:sz w:val="20"/>
                <w:szCs w:val="20"/>
                <w:lang w:val="en-GB"/>
              </w:rPr>
            </w:pPr>
          </w:p>
          <w:p w14:paraId="097C591B" w14:textId="330143F5" w:rsidR="00C4485F" w:rsidRPr="009B39EC" w:rsidRDefault="006D571B" w:rsidP="00CA765E">
            <w:pPr>
              <w:jc w:val="both"/>
              <w:rPr>
                <w:rFonts w:ascii="Arial" w:hAnsi="Arial" w:cs="Arial"/>
                <w:sz w:val="20"/>
                <w:szCs w:val="20"/>
                <w:lang w:val="en-GB"/>
              </w:rPr>
            </w:pPr>
            <w:r w:rsidRPr="009B39EC">
              <w:rPr>
                <w:rFonts w:ascii="Arial" w:hAnsi="Arial" w:cs="Arial"/>
                <w:b/>
                <w:bCs/>
                <w:sz w:val="20"/>
                <w:szCs w:val="20"/>
                <w:lang w:val="en-GB"/>
              </w:rPr>
              <w:t>Public social services</w:t>
            </w:r>
            <w:r w:rsidRPr="009B39EC">
              <w:rPr>
                <w:rFonts w:ascii="Arial" w:hAnsi="Arial" w:cs="Arial"/>
                <w:sz w:val="20"/>
                <w:szCs w:val="20"/>
                <w:lang w:val="en-GB"/>
              </w:rPr>
              <w:t xml:space="preserve"> are provided </w:t>
            </w:r>
            <w:r w:rsidR="001D5DCD" w:rsidRPr="009B39EC">
              <w:rPr>
                <w:rFonts w:ascii="Arial" w:hAnsi="Arial" w:cs="Arial"/>
                <w:sz w:val="20"/>
                <w:szCs w:val="20"/>
                <w:lang w:val="en-GB"/>
              </w:rPr>
              <w:t>in</w:t>
            </w:r>
            <w:r w:rsidRPr="009B39EC">
              <w:rPr>
                <w:rFonts w:ascii="Arial" w:hAnsi="Arial" w:cs="Arial"/>
                <w:sz w:val="20"/>
                <w:szCs w:val="20"/>
                <w:lang w:val="en-GB"/>
              </w:rPr>
              <w:t xml:space="preserve"> </w:t>
            </w:r>
            <w:r w:rsidR="00C4485F" w:rsidRPr="009B39EC">
              <w:rPr>
                <w:rFonts w:ascii="Arial" w:hAnsi="Arial" w:cs="Arial"/>
                <w:sz w:val="20"/>
                <w:szCs w:val="20"/>
                <w:lang w:val="en-GB"/>
              </w:rPr>
              <w:t xml:space="preserve">30 </w:t>
            </w:r>
            <w:r w:rsidRPr="009B39EC">
              <w:rPr>
                <w:rFonts w:ascii="Arial" w:hAnsi="Arial" w:cs="Arial"/>
                <w:sz w:val="20"/>
                <w:szCs w:val="20"/>
                <w:lang w:val="en-GB"/>
              </w:rPr>
              <w:t xml:space="preserve">residential centres and </w:t>
            </w:r>
            <w:r w:rsidR="00C4485F" w:rsidRPr="009B39EC">
              <w:rPr>
                <w:rFonts w:ascii="Arial" w:hAnsi="Arial" w:cs="Arial"/>
                <w:sz w:val="20"/>
                <w:szCs w:val="20"/>
                <w:lang w:val="en-GB"/>
              </w:rPr>
              <w:t xml:space="preserve">119 </w:t>
            </w:r>
            <w:r w:rsidRPr="009B39EC">
              <w:rPr>
                <w:rFonts w:ascii="Arial" w:hAnsi="Arial" w:cs="Arial"/>
                <w:sz w:val="20"/>
                <w:szCs w:val="20"/>
                <w:lang w:val="en-GB"/>
              </w:rPr>
              <w:t xml:space="preserve">community/day care centres, while non-public social services are provided by NPOs or religious organisations </w:t>
            </w:r>
            <w:r w:rsidR="001D5DCD" w:rsidRPr="009B39EC">
              <w:rPr>
                <w:rFonts w:ascii="Arial" w:hAnsi="Arial" w:cs="Arial"/>
                <w:sz w:val="20"/>
                <w:szCs w:val="20"/>
                <w:lang w:val="en-GB"/>
              </w:rPr>
              <w:t>in</w:t>
            </w:r>
            <w:r w:rsidRPr="009B39EC">
              <w:rPr>
                <w:rFonts w:ascii="Arial" w:hAnsi="Arial" w:cs="Arial"/>
                <w:sz w:val="20"/>
                <w:szCs w:val="20"/>
                <w:lang w:val="en-GB"/>
              </w:rPr>
              <w:t xml:space="preserve"> 86 </w:t>
            </w:r>
            <w:r w:rsidR="00EA09B5" w:rsidRPr="009B39EC">
              <w:rPr>
                <w:rFonts w:ascii="Arial" w:hAnsi="Arial" w:cs="Arial"/>
                <w:sz w:val="20"/>
                <w:szCs w:val="20"/>
                <w:lang w:val="en-GB"/>
              </w:rPr>
              <w:t xml:space="preserve">community/day care centres and 41 residential </w:t>
            </w:r>
            <w:proofErr w:type="gramStart"/>
            <w:r w:rsidR="00EA09B5" w:rsidRPr="009B39EC">
              <w:rPr>
                <w:rFonts w:ascii="Arial" w:hAnsi="Arial" w:cs="Arial"/>
                <w:sz w:val="20"/>
                <w:szCs w:val="20"/>
                <w:lang w:val="en-GB"/>
              </w:rPr>
              <w:t>centres</w:t>
            </w:r>
            <w:r w:rsidR="00C4485F" w:rsidRPr="009B39EC">
              <w:rPr>
                <w:rFonts w:ascii="Arial" w:hAnsi="Arial" w:cs="Arial"/>
                <w:sz w:val="20"/>
                <w:szCs w:val="20"/>
                <w:lang w:val="en-GB"/>
              </w:rPr>
              <w:t>;</w:t>
            </w:r>
            <w:proofErr w:type="gramEnd"/>
            <w:r w:rsidR="00C4485F" w:rsidRPr="009B39EC">
              <w:rPr>
                <w:rFonts w:ascii="Arial" w:hAnsi="Arial" w:cs="Arial"/>
                <w:sz w:val="20"/>
                <w:szCs w:val="20"/>
                <w:lang w:val="en-GB"/>
              </w:rPr>
              <w:t xml:space="preserve"> </w:t>
            </w:r>
            <w:r w:rsidR="00EA09B5" w:rsidRPr="009B39EC">
              <w:rPr>
                <w:rFonts w:ascii="Arial" w:hAnsi="Arial" w:cs="Arial"/>
                <w:sz w:val="20"/>
                <w:szCs w:val="20"/>
                <w:lang w:val="en-GB"/>
              </w:rPr>
              <w:t>in total 276 service centres of different types</w:t>
            </w:r>
            <w:r w:rsidR="00C4485F" w:rsidRPr="009B39EC">
              <w:rPr>
                <w:rFonts w:ascii="Arial" w:hAnsi="Arial" w:cs="Arial"/>
                <w:sz w:val="20"/>
                <w:szCs w:val="20"/>
                <w:lang w:val="en-GB"/>
              </w:rPr>
              <w:t xml:space="preserve">. </w:t>
            </w:r>
            <w:r w:rsidR="00EA09B5" w:rsidRPr="009B39EC">
              <w:rPr>
                <w:rFonts w:ascii="Arial" w:hAnsi="Arial" w:cs="Arial"/>
                <w:sz w:val="20"/>
                <w:szCs w:val="20"/>
                <w:lang w:val="en-GB"/>
              </w:rPr>
              <w:t xml:space="preserve">Non-public </w:t>
            </w:r>
            <w:r w:rsidR="00445CB5" w:rsidRPr="009B39EC">
              <w:rPr>
                <w:rFonts w:ascii="Arial" w:hAnsi="Arial" w:cs="Arial"/>
                <w:sz w:val="20"/>
                <w:szCs w:val="20"/>
                <w:lang w:val="en-GB"/>
              </w:rPr>
              <w:t>centres</w:t>
            </w:r>
            <w:r w:rsidR="00EA09B5" w:rsidRPr="009B39EC">
              <w:rPr>
                <w:rFonts w:ascii="Arial" w:hAnsi="Arial" w:cs="Arial"/>
                <w:sz w:val="20"/>
                <w:szCs w:val="20"/>
                <w:lang w:val="en-GB"/>
              </w:rPr>
              <w:t xml:space="preserve"> provide about 46</w:t>
            </w:r>
            <w:r w:rsidR="007515B1" w:rsidRPr="009B39EC">
              <w:rPr>
                <w:rFonts w:ascii="Arial" w:hAnsi="Arial" w:cs="Arial"/>
                <w:sz w:val="20"/>
                <w:szCs w:val="20"/>
                <w:lang w:val="en-GB"/>
              </w:rPr>
              <w:t>%</w:t>
            </w:r>
            <w:r w:rsidR="00EA09B5" w:rsidRPr="009B39EC">
              <w:rPr>
                <w:rFonts w:ascii="Arial" w:hAnsi="Arial" w:cs="Arial"/>
                <w:sz w:val="20"/>
                <w:szCs w:val="20"/>
                <w:lang w:val="en-GB"/>
              </w:rPr>
              <w:t xml:space="preserve"> of social services, compared to 54</w:t>
            </w:r>
            <w:r w:rsidR="007515B1" w:rsidRPr="009B39EC">
              <w:rPr>
                <w:rFonts w:ascii="Arial" w:hAnsi="Arial" w:cs="Arial"/>
                <w:sz w:val="20"/>
                <w:szCs w:val="20"/>
                <w:lang w:val="en-GB"/>
              </w:rPr>
              <w:t>%</w:t>
            </w:r>
            <w:r w:rsidR="00EA09B5" w:rsidRPr="009B39EC">
              <w:rPr>
                <w:rFonts w:ascii="Arial" w:hAnsi="Arial" w:cs="Arial"/>
                <w:sz w:val="20"/>
                <w:szCs w:val="20"/>
                <w:lang w:val="en-GB"/>
              </w:rPr>
              <w:t xml:space="preserve"> of the total provided by public </w:t>
            </w:r>
            <w:r w:rsidR="00445CB5" w:rsidRPr="009B39EC">
              <w:rPr>
                <w:rFonts w:ascii="Arial" w:hAnsi="Arial" w:cs="Arial"/>
                <w:sz w:val="20"/>
                <w:szCs w:val="20"/>
                <w:lang w:val="en-GB"/>
              </w:rPr>
              <w:t>centres</w:t>
            </w:r>
            <w:r w:rsidR="00EA09B5" w:rsidRPr="009B39EC">
              <w:rPr>
                <w:rFonts w:ascii="Arial" w:hAnsi="Arial" w:cs="Arial"/>
                <w:sz w:val="20"/>
                <w:szCs w:val="20"/>
                <w:lang w:val="en-GB"/>
              </w:rPr>
              <w:t xml:space="preserve">, while community/day care </w:t>
            </w:r>
            <w:r w:rsidR="00445CB5" w:rsidRPr="009B39EC">
              <w:rPr>
                <w:rFonts w:ascii="Arial" w:hAnsi="Arial" w:cs="Arial"/>
                <w:sz w:val="20"/>
                <w:szCs w:val="20"/>
                <w:lang w:val="en-GB"/>
              </w:rPr>
              <w:t>centres</w:t>
            </w:r>
            <w:r w:rsidR="00EA09B5" w:rsidRPr="009B39EC">
              <w:rPr>
                <w:rFonts w:ascii="Arial" w:hAnsi="Arial" w:cs="Arial"/>
                <w:sz w:val="20"/>
                <w:szCs w:val="20"/>
                <w:lang w:val="en-GB"/>
              </w:rPr>
              <w:t xml:space="preserve"> provide about 74</w:t>
            </w:r>
            <w:r w:rsidR="007515B1" w:rsidRPr="009B39EC">
              <w:rPr>
                <w:rFonts w:ascii="Arial" w:hAnsi="Arial" w:cs="Arial"/>
                <w:sz w:val="20"/>
                <w:szCs w:val="20"/>
                <w:lang w:val="en-GB"/>
              </w:rPr>
              <w:t>%</w:t>
            </w:r>
            <w:r w:rsidR="00EA09B5" w:rsidRPr="009B39EC">
              <w:rPr>
                <w:rFonts w:ascii="Arial" w:hAnsi="Arial" w:cs="Arial"/>
                <w:sz w:val="20"/>
                <w:szCs w:val="20"/>
                <w:lang w:val="en-GB"/>
              </w:rPr>
              <w:t xml:space="preserve"> of social services versus 26</w:t>
            </w:r>
            <w:r w:rsidR="007515B1" w:rsidRPr="009B39EC">
              <w:rPr>
                <w:rFonts w:ascii="Arial" w:hAnsi="Arial" w:cs="Arial"/>
                <w:sz w:val="20"/>
                <w:szCs w:val="20"/>
                <w:lang w:val="en-GB"/>
              </w:rPr>
              <w:t>%</w:t>
            </w:r>
            <w:r w:rsidR="00EA09B5" w:rsidRPr="009B39EC">
              <w:rPr>
                <w:rFonts w:ascii="Arial" w:hAnsi="Arial" w:cs="Arial"/>
                <w:sz w:val="20"/>
                <w:szCs w:val="20"/>
                <w:lang w:val="en-GB"/>
              </w:rPr>
              <w:t xml:space="preserve"> provided by residential </w:t>
            </w:r>
            <w:r w:rsidR="00445CB5" w:rsidRPr="009B39EC">
              <w:rPr>
                <w:rFonts w:ascii="Arial" w:hAnsi="Arial" w:cs="Arial"/>
                <w:sz w:val="20"/>
                <w:szCs w:val="20"/>
                <w:lang w:val="en-GB"/>
              </w:rPr>
              <w:t>centres</w:t>
            </w:r>
            <w:r w:rsidR="00C4485F" w:rsidRPr="009B39EC">
              <w:rPr>
                <w:rFonts w:ascii="Arial" w:hAnsi="Arial" w:cs="Arial"/>
                <w:sz w:val="20"/>
                <w:szCs w:val="20"/>
                <w:lang w:val="en-GB"/>
              </w:rPr>
              <w:t xml:space="preserve">. </w:t>
            </w:r>
            <w:r w:rsidR="00FF3882" w:rsidRPr="009B39EC">
              <w:rPr>
                <w:rFonts w:ascii="Arial" w:hAnsi="Arial" w:cs="Arial"/>
                <w:sz w:val="20"/>
                <w:szCs w:val="20"/>
                <w:lang w:val="en-GB"/>
              </w:rPr>
              <w:t>In 2019, the number of beneficiaries of public residential and day care services, provided by the state, was 1716 and the number of children benefiting from alternative foster care and non-residential services increased by 13</w:t>
            </w:r>
            <w:r w:rsidR="007515B1" w:rsidRPr="009B39EC">
              <w:rPr>
                <w:rFonts w:ascii="Arial" w:hAnsi="Arial" w:cs="Arial"/>
                <w:sz w:val="20"/>
                <w:szCs w:val="20"/>
                <w:lang w:val="en-GB"/>
              </w:rPr>
              <w:t>%</w:t>
            </w:r>
            <w:r w:rsidR="00FF3882" w:rsidRPr="009B39EC">
              <w:rPr>
                <w:rFonts w:ascii="Arial" w:hAnsi="Arial" w:cs="Arial"/>
                <w:sz w:val="20"/>
                <w:szCs w:val="20"/>
                <w:lang w:val="en-GB"/>
              </w:rPr>
              <w:t>, while the rate of population accessing the basic social services package is 0.5</w:t>
            </w:r>
            <w:r w:rsidR="007515B1" w:rsidRPr="009B39EC">
              <w:rPr>
                <w:rFonts w:ascii="Arial" w:hAnsi="Arial" w:cs="Arial"/>
                <w:sz w:val="20"/>
                <w:szCs w:val="20"/>
                <w:lang w:val="en-GB"/>
              </w:rPr>
              <w:t>%</w:t>
            </w:r>
            <w:r w:rsidR="00C4485F" w:rsidRPr="009B39EC">
              <w:rPr>
                <w:rFonts w:ascii="Arial" w:hAnsi="Arial" w:cs="Arial"/>
                <w:sz w:val="20"/>
                <w:szCs w:val="20"/>
                <w:lang w:val="en-GB"/>
              </w:rPr>
              <w:t xml:space="preserve">. </w:t>
            </w:r>
            <w:r w:rsidR="00FF3882" w:rsidRPr="009B39EC">
              <w:rPr>
                <w:rFonts w:ascii="Arial" w:hAnsi="Arial" w:cs="Arial"/>
                <w:sz w:val="20"/>
                <w:szCs w:val="20"/>
                <w:lang w:val="en-GB"/>
              </w:rPr>
              <w:t>In 2019, the total amount allocated for funding social services in municipalities and regions was</w:t>
            </w:r>
            <w:r w:rsidR="00C4485F" w:rsidRPr="009B39EC">
              <w:rPr>
                <w:rFonts w:ascii="Arial" w:hAnsi="Arial" w:cs="Arial"/>
                <w:sz w:val="20"/>
                <w:szCs w:val="20"/>
                <w:lang w:val="en-GB"/>
              </w:rPr>
              <w:t xml:space="preserve"> 149,195,353 </w:t>
            </w:r>
            <w:r w:rsidR="002752F6" w:rsidRPr="009B39EC">
              <w:rPr>
                <w:rFonts w:ascii="Arial" w:hAnsi="Arial" w:cs="Arial"/>
                <w:sz w:val="20"/>
                <w:szCs w:val="20"/>
                <w:lang w:val="en-GB"/>
              </w:rPr>
              <w:t>ALL</w:t>
            </w:r>
            <w:r w:rsidR="00C4485F" w:rsidRPr="009B39EC">
              <w:rPr>
                <w:rFonts w:ascii="Arial" w:hAnsi="Arial" w:cs="Arial"/>
                <w:sz w:val="20"/>
                <w:szCs w:val="20"/>
                <w:lang w:val="en-GB"/>
              </w:rPr>
              <w:t xml:space="preserve">. </w:t>
            </w:r>
            <w:r w:rsidR="00FF3882" w:rsidRPr="009B39EC">
              <w:rPr>
                <w:rFonts w:ascii="Arial" w:hAnsi="Arial" w:cs="Arial"/>
                <w:sz w:val="20"/>
                <w:szCs w:val="20"/>
                <w:lang w:val="en-GB"/>
              </w:rPr>
              <w:t>I</w:t>
            </w:r>
            <w:r w:rsidR="00850A6E" w:rsidRPr="009B39EC">
              <w:rPr>
                <w:rFonts w:ascii="Arial" w:hAnsi="Arial" w:cs="Arial"/>
                <w:sz w:val="20"/>
                <w:szCs w:val="20"/>
                <w:lang w:val="en-GB"/>
              </w:rPr>
              <w:t>n 20</w:t>
            </w:r>
            <w:r w:rsidR="00C4485F" w:rsidRPr="009B39EC">
              <w:rPr>
                <w:rFonts w:ascii="Arial" w:hAnsi="Arial" w:cs="Arial"/>
                <w:sz w:val="20"/>
                <w:szCs w:val="20"/>
                <w:lang w:val="en-GB"/>
              </w:rPr>
              <w:t xml:space="preserve">19, </w:t>
            </w:r>
            <w:r w:rsidR="00FF3882" w:rsidRPr="009B39EC">
              <w:rPr>
                <w:rFonts w:ascii="Arial" w:hAnsi="Arial" w:cs="Arial"/>
                <w:sz w:val="20"/>
                <w:szCs w:val="20"/>
                <w:lang w:val="en-GB"/>
              </w:rPr>
              <w:t xml:space="preserve">a total of </w:t>
            </w:r>
            <w:r w:rsidR="00C4485F" w:rsidRPr="009B39EC">
              <w:rPr>
                <w:rFonts w:ascii="Arial" w:hAnsi="Arial" w:cs="Arial"/>
                <w:sz w:val="20"/>
                <w:szCs w:val="20"/>
                <w:lang w:val="en-GB"/>
              </w:rPr>
              <w:t>12 s</w:t>
            </w:r>
            <w:r w:rsidR="00FF3882" w:rsidRPr="009B39EC">
              <w:rPr>
                <w:rFonts w:ascii="Arial" w:hAnsi="Arial" w:cs="Arial"/>
                <w:sz w:val="20"/>
                <w:szCs w:val="20"/>
                <w:lang w:val="en-GB"/>
              </w:rPr>
              <w:t xml:space="preserve">pecialised services in </w:t>
            </w:r>
            <w:r w:rsidR="00C4485F" w:rsidRPr="009B39EC">
              <w:rPr>
                <w:rFonts w:ascii="Arial" w:hAnsi="Arial" w:cs="Arial"/>
                <w:sz w:val="20"/>
                <w:szCs w:val="20"/>
                <w:lang w:val="en-GB"/>
              </w:rPr>
              <w:t xml:space="preserve">6 </w:t>
            </w:r>
            <w:r w:rsidR="00FF3882" w:rsidRPr="009B39EC">
              <w:rPr>
                <w:rFonts w:ascii="Arial" w:hAnsi="Arial" w:cs="Arial"/>
                <w:sz w:val="20"/>
                <w:szCs w:val="20"/>
                <w:lang w:val="en-GB"/>
              </w:rPr>
              <w:t xml:space="preserve">regions, with a total value of </w:t>
            </w:r>
            <w:r w:rsidR="00C4485F" w:rsidRPr="009B39EC">
              <w:rPr>
                <w:rFonts w:ascii="Arial" w:hAnsi="Arial" w:cs="Arial"/>
                <w:sz w:val="20"/>
                <w:szCs w:val="20"/>
                <w:lang w:val="en-GB"/>
              </w:rPr>
              <w:t xml:space="preserve">62,000,000 </w:t>
            </w:r>
            <w:r w:rsidR="002752F6" w:rsidRPr="009B39EC">
              <w:rPr>
                <w:rFonts w:ascii="Arial" w:hAnsi="Arial" w:cs="Arial"/>
                <w:sz w:val="20"/>
                <w:szCs w:val="20"/>
                <w:lang w:val="en-GB"/>
              </w:rPr>
              <w:t>ALL</w:t>
            </w:r>
            <w:r w:rsidR="00C4485F" w:rsidRPr="009B39EC">
              <w:rPr>
                <w:rFonts w:ascii="Arial" w:hAnsi="Arial" w:cs="Arial"/>
                <w:sz w:val="20"/>
                <w:szCs w:val="20"/>
                <w:lang w:val="en-GB"/>
              </w:rPr>
              <w:t>.</w:t>
            </w:r>
          </w:p>
          <w:p w14:paraId="0E207ECD" w14:textId="77777777" w:rsidR="00CA765E" w:rsidRPr="009B39EC" w:rsidRDefault="00CA765E" w:rsidP="00CA765E">
            <w:pPr>
              <w:jc w:val="both"/>
              <w:rPr>
                <w:rFonts w:ascii="Arial" w:hAnsi="Arial" w:cs="Arial"/>
                <w:sz w:val="20"/>
                <w:szCs w:val="20"/>
                <w:lang w:val="en-GB"/>
              </w:rPr>
            </w:pPr>
          </w:p>
          <w:p w14:paraId="54637B16" w14:textId="1B78CDDD" w:rsidR="00DC441F" w:rsidRPr="009B39EC" w:rsidRDefault="004E0FAA" w:rsidP="00CA765E">
            <w:pPr>
              <w:jc w:val="both"/>
              <w:rPr>
                <w:rFonts w:ascii="Arial" w:hAnsi="Arial" w:cs="Arial"/>
                <w:sz w:val="20"/>
                <w:szCs w:val="20"/>
                <w:lang w:val="en-GB"/>
              </w:rPr>
            </w:pPr>
            <w:r w:rsidRPr="009B39EC">
              <w:rPr>
                <w:rFonts w:ascii="Arial" w:hAnsi="Arial" w:cs="Arial"/>
                <w:sz w:val="20"/>
                <w:szCs w:val="20"/>
                <w:lang w:val="en-GB"/>
              </w:rPr>
              <w:t>Excellent</w:t>
            </w:r>
            <w:r w:rsidR="00C833D6" w:rsidRPr="009B39EC">
              <w:rPr>
                <w:rFonts w:ascii="Arial" w:hAnsi="Arial" w:cs="Arial"/>
                <w:sz w:val="20"/>
                <w:szCs w:val="20"/>
                <w:lang w:val="en-GB"/>
              </w:rPr>
              <w:t xml:space="preserve"> collaboration with civil society organisations providing specialised support services also </w:t>
            </w:r>
            <w:r w:rsidRPr="009B39EC">
              <w:rPr>
                <w:rFonts w:ascii="Arial" w:hAnsi="Arial" w:cs="Arial"/>
                <w:sz w:val="20"/>
                <w:szCs w:val="20"/>
                <w:lang w:val="en-GB"/>
              </w:rPr>
              <w:t xml:space="preserve">exists </w:t>
            </w:r>
            <w:r w:rsidR="00C833D6" w:rsidRPr="009B39EC">
              <w:rPr>
                <w:rFonts w:ascii="Arial" w:hAnsi="Arial" w:cs="Arial"/>
                <w:sz w:val="20"/>
                <w:szCs w:val="20"/>
                <w:lang w:val="en-GB"/>
              </w:rPr>
              <w:t>at the local self-</w:t>
            </w:r>
            <w:r w:rsidR="00445CB5" w:rsidRPr="009B39EC">
              <w:rPr>
                <w:rFonts w:ascii="Arial" w:hAnsi="Arial" w:cs="Arial"/>
                <w:sz w:val="20"/>
                <w:szCs w:val="20"/>
                <w:lang w:val="en-GB"/>
              </w:rPr>
              <w:t>government</w:t>
            </w:r>
            <w:r w:rsidR="00C833D6" w:rsidRPr="009B39EC">
              <w:rPr>
                <w:rFonts w:ascii="Arial" w:hAnsi="Arial" w:cs="Arial"/>
                <w:sz w:val="20"/>
                <w:szCs w:val="20"/>
                <w:lang w:val="en-GB"/>
              </w:rPr>
              <w:t xml:space="preserve"> level, particularly in the framework of the work of Coordinated Referral Mechanisms against cases of domestic violence. In all the LSGUs where </w:t>
            </w:r>
            <w:r w:rsidR="0012403C" w:rsidRPr="009B39EC">
              <w:rPr>
                <w:rFonts w:ascii="Arial" w:hAnsi="Arial" w:cs="Arial"/>
                <w:sz w:val="20"/>
                <w:szCs w:val="20"/>
                <w:lang w:val="en-GB"/>
              </w:rPr>
              <w:t>such</w:t>
            </w:r>
            <w:r w:rsidR="00C833D6" w:rsidRPr="009B39EC">
              <w:rPr>
                <w:rFonts w:ascii="Arial" w:hAnsi="Arial" w:cs="Arial"/>
                <w:sz w:val="20"/>
                <w:szCs w:val="20"/>
                <w:lang w:val="en-GB"/>
              </w:rPr>
              <w:t xml:space="preserve"> organisations operate</w:t>
            </w:r>
            <w:r w:rsidRPr="009B39EC">
              <w:rPr>
                <w:rFonts w:ascii="Arial" w:hAnsi="Arial" w:cs="Arial"/>
                <w:sz w:val="20"/>
                <w:szCs w:val="20"/>
                <w:lang w:val="en-GB"/>
              </w:rPr>
              <w:t xml:space="preserve"> and depending </w:t>
            </w:r>
            <w:r w:rsidR="00445CB5" w:rsidRPr="009B39EC">
              <w:rPr>
                <w:rFonts w:ascii="Arial" w:hAnsi="Arial" w:cs="Arial"/>
                <w:sz w:val="20"/>
                <w:szCs w:val="20"/>
                <w:lang w:val="en-GB"/>
              </w:rPr>
              <w:t>on</w:t>
            </w:r>
            <w:r w:rsidRPr="009B39EC">
              <w:rPr>
                <w:rFonts w:ascii="Arial" w:hAnsi="Arial" w:cs="Arial"/>
                <w:sz w:val="20"/>
                <w:szCs w:val="20"/>
                <w:lang w:val="en-GB"/>
              </w:rPr>
              <w:t xml:space="preserve"> the extent of the intervention services they </w:t>
            </w:r>
            <w:r w:rsidR="00445CB5" w:rsidRPr="009B39EC">
              <w:rPr>
                <w:rFonts w:ascii="Arial" w:hAnsi="Arial" w:cs="Arial"/>
                <w:sz w:val="20"/>
                <w:szCs w:val="20"/>
                <w:lang w:val="en-GB"/>
              </w:rPr>
              <w:t>provide;</w:t>
            </w:r>
            <w:r w:rsidRPr="009B39EC">
              <w:rPr>
                <w:rFonts w:ascii="Arial" w:hAnsi="Arial" w:cs="Arial"/>
                <w:sz w:val="20"/>
                <w:szCs w:val="20"/>
                <w:lang w:val="en-GB"/>
              </w:rPr>
              <w:t xml:space="preserve"> they are invited to be part of these CRMs with equal membership rights</w:t>
            </w:r>
            <w:r w:rsidR="00D454FE" w:rsidRPr="009B39EC">
              <w:rPr>
                <w:rFonts w:ascii="Arial" w:hAnsi="Arial" w:cs="Arial"/>
                <w:sz w:val="20"/>
                <w:szCs w:val="20"/>
                <w:lang w:val="en-GB"/>
              </w:rPr>
              <w:t xml:space="preserve">. </w:t>
            </w:r>
            <w:r w:rsidR="00944AFC" w:rsidRPr="009B39EC">
              <w:rPr>
                <w:rFonts w:ascii="Arial" w:hAnsi="Arial" w:cs="Arial"/>
                <w:sz w:val="20"/>
                <w:szCs w:val="20"/>
                <w:lang w:val="en-GB"/>
              </w:rPr>
              <w:t xml:space="preserve">In some of the LSGUs, the </w:t>
            </w:r>
            <w:r w:rsidR="00183516" w:rsidRPr="009B39EC">
              <w:rPr>
                <w:rFonts w:ascii="Arial" w:hAnsi="Arial" w:cs="Arial"/>
                <w:sz w:val="20"/>
                <w:szCs w:val="20"/>
                <w:lang w:val="en-GB"/>
              </w:rPr>
              <w:t xml:space="preserve">services are </w:t>
            </w:r>
            <w:r w:rsidR="00445CB5" w:rsidRPr="009B39EC">
              <w:rPr>
                <w:rFonts w:ascii="Arial" w:hAnsi="Arial" w:cs="Arial"/>
                <w:sz w:val="20"/>
                <w:szCs w:val="20"/>
                <w:lang w:val="en-GB"/>
              </w:rPr>
              <w:t>co-financed</w:t>
            </w:r>
            <w:r w:rsidR="00183516" w:rsidRPr="009B39EC">
              <w:rPr>
                <w:rFonts w:ascii="Arial" w:hAnsi="Arial" w:cs="Arial"/>
                <w:sz w:val="20"/>
                <w:szCs w:val="20"/>
                <w:lang w:val="en-GB"/>
              </w:rPr>
              <w:t>, or the local authorities provide the premises for the services</w:t>
            </w:r>
            <w:r w:rsidR="00D454FE" w:rsidRPr="009B39EC">
              <w:rPr>
                <w:rFonts w:ascii="Arial" w:hAnsi="Arial" w:cs="Arial"/>
                <w:sz w:val="20"/>
                <w:szCs w:val="20"/>
                <w:lang w:val="en-GB"/>
              </w:rPr>
              <w:t>, et</w:t>
            </w:r>
            <w:r w:rsidR="00183516" w:rsidRPr="009B39EC">
              <w:rPr>
                <w:rFonts w:ascii="Arial" w:hAnsi="Arial" w:cs="Arial"/>
                <w:sz w:val="20"/>
                <w:szCs w:val="20"/>
                <w:lang w:val="en-GB"/>
              </w:rPr>
              <w:t>c</w:t>
            </w:r>
            <w:r w:rsidR="00D454FE" w:rsidRPr="009B39EC">
              <w:rPr>
                <w:rFonts w:ascii="Arial" w:hAnsi="Arial" w:cs="Arial"/>
                <w:sz w:val="20"/>
                <w:szCs w:val="20"/>
                <w:lang w:val="en-GB"/>
              </w:rPr>
              <w:t xml:space="preserve">. </w:t>
            </w:r>
          </w:p>
          <w:p w14:paraId="4F69F5EE" w14:textId="77777777" w:rsidR="0066365C" w:rsidRPr="009B39EC" w:rsidRDefault="0066365C" w:rsidP="00CA765E">
            <w:pPr>
              <w:jc w:val="both"/>
              <w:rPr>
                <w:rFonts w:ascii="Arial" w:hAnsi="Arial" w:cs="Arial"/>
                <w:sz w:val="20"/>
                <w:szCs w:val="20"/>
                <w:lang w:val="en-GB"/>
              </w:rPr>
            </w:pPr>
          </w:p>
          <w:p w14:paraId="361B6599" w14:textId="5AF36ECA" w:rsidR="00BB3327" w:rsidRPr="009B39EC" w:rsidRDefault="00281C0B" w:rsidP="0066365C">
            <w:pPr>
              <w:jc w:val="both"/>
              <w:rPr>
                <w:rFonts w:ascii="Arial" w:eastAsia="Times New Roman" w:hAnsi="Arial" w:cs="Arial"/>
                <w:sz w:val="20"/>
                <w:szCs w:val="20"/>
                <w:lang w:val="en-GB"/>
              </w:rPr>
            </w:pPr>
            <w:r w:rsidRPr="009B39EC">
              <w:rPr>
                <w:rFonts w:ascii="Arial" w:eastAsia="Times New Roman" w:hAnsi="Arial" w:cs="Arial"/>
                <w:sz w:val="20"/>
                <w:szCs w:val="20"/>
                <w:lang w:val="en-GB"/>
              </w:rPr>
              <w:t xml:space="preserve">Below are some statistics on the important role of civil society organisations as </w:t>
            </w:r>
            <w:r w:rsidR="001D5DCD" w:rsidRPr="009B39EC">
              <w:rPr>
                <w:rFonts w:ascii="Arial" w:eastAsia="Times New Roman" w:hAnsi="Arial" w:cs="Arial"/>
                <w:sz w:val="20"/>
                <w:szCs w:val="20"/>
                <w:lang w:val="en-GB"/>
              </w:rPr>
              <w:t xml:space="preserve">partners and </w:t>
            </w:r>
            <w:r w:rsidRPr="009B39EC">
              <w:rPr>
                <w:rFonts w:ascii="Arial" w:eastAsia="Times New Roman" w:hAnsi="Arial" w:cs="Arial"/>
                <w:sz w:val="20"/>
                <w:szCs w:val="20"/>
                <w:lang w:val="en-GB"/>
              </w:rPr>
              <w:t>collaborators in the provision of specialised support services tackling violence against women and domestic violence</w:t>
            </w:r>
            <w:r w:rsidR="00BB3327" w:rsidRPr="009B39EC">
              <w:rPr>
                <w:rFonts w:ascii="Arial" w:eastAsia="Times New Roman" w:hAnsi="Arial" w:cs="Arial"/>
                <w:sz w:val="20"/>
                <w:szCs w:val="20"/>
                <w:lang w:val="en-GB"/>
              </w:rPr>
              <w:t>:</w:t>
            </w:r>
          </w:p>
          <w:p w14:paraId="55919D3B" w14:textId="77777777" w:rsidR="00BB3327" w:rsidRPr="009B39EC" w:rsidRDefault="00BB3327" w:rsidP="0066365C">
            <w:pPr>
              <w:jc w:val="both"/>
              <w:rPr>
                <w:rFonts w:ascii="Arial" w:eastAsia="Times New Roman" w:hAnsi="Arial" w:cs="Arial"/>
                <w:sz w:val="20"/>
                <w:szCs w:val="20"/>
                <w:lang w:val="en-GB"/>
              </w:rPr>
            </w:pPr>
          </w:p>
          <w:p w14:paraId="055A2972" w14:textId="6402B48F" w:rsidR="0066365C" w:rsidRPr="009B39EC" w:rsidRDefault="00445CB5" w:rsidP="00BB3327">
            <w:pPr>
              <w:jc w:val="both"/>
              <w:rPr>
                <w:rFonts w:ascii="Arial" w:eastAsia="Times New Roman" w:hAnsi="Arial" w:cs="Arial"/>
                <w:sz w:val="20"/>
                <w:szCs w:val="20"/>
                <w:lang w:val="en-GB"/>
              </w:rPr>
            </w:pPr>
            <w:r w:rsidRPr="009B39EC">
              <w:rPr>
                <w:rFonts w:ascii="Arial" w:eastAsia="Times New Roman" w:hAnsi="Arial" w:cs="Arial"/>
                <w:b/>
                <w:bCs/>
                <w:sz w:val="20"/>
                <w:szCs w:val="20"/>
                <w:lang w:val="en-GB"/>
              </w:rPr>
              <w:t xml:space="preserve">The National Counselling Line </w:t>
            </w:r>
            <w:r w:rsidR="00B86195" w:rsidRPr="009B39EC">
              <w:rPr>
                <w:rFonts w:ascii="Arial" w:eastAsia="Times New Roman" w:hAnsi="Arial" w:cs="Arial"/>
                <w:b/>
                <w:bCs/>
                <w:sz w:val="20"/>
                <w:szCs w:val="20"/>
                <w:lang w:val="en-GB"/>
              </w:rPr>
              <w:t xml:space="preserve">for Women and Girls </w:t>
            </w:r>
            <w:r w:rsidRPr="009B39EC">
              <w:rPr>
                <w:rFonts w:ascii="Arial" w:eastAsia="Times New Roman" w:hAnsi="Arial" w:cs="Arial"/>
                <w:b/>
                <w:bCs/>
                <w:sz w:val="20"/>
                <w:szCs w:val="20"/>
                <w:lang w:val="en-GB"/>
              </w:rPr>
              <w:t>116-117</w:t>
            </w:r>
            <w:r w:rsidR="0066365C" w:rsidRPr="009B39EC">
              <w:rPr>
                <w:rFonts w:ascii="Arial" w:eastAsia="Times New Roman" w:hAnsi="Arial" w:cs="Arial"/>
                <w:sz w:val="20"/>
                <w:szCs w:val="20"/>
                <w:lang w:val="en-GB"/>
              </w:rPr>
              <w:t xml:space="preserve"> </w:t>
            </w:r>
            <w:r w:rsidR="00281C0B" w:rsidRPr="009B39EC">
              <w:rPr>
                <w:rFonts w:ascii="Arial" w:eastAsia="Times New Roman" w:hAnsi="Arial" w:cs="Arial"/>
                <w:sz w:val="20"/>
                <w:szCs w:val="20"/>
                <w:lang w:val="en-GB"/>
              </w:rPr>
              <w:t xml:space="preserve">is a </w:t>
            </w:r>
            <w:r w:rsidR="0066365C" w:rsidRPr="009B39EC">
              <w:rPr>
                <w:rFonts w:ascii="Arial" w:eastAsia="Times New Roman" w:hAnsi="Arial" w:cs="Arial"/>
                <w:sz w:val="20"/>
                <w:szCs w:val="20"/>
                <w:lang w:val="en-GB"/>
              </w:rPr>
              <w:t>24/7</w:t>
            </w:r>
            <w:r w:rsidR="00BB3327" w:rsidRPr="009B39EC">
              <w:rPr>
                <w:rFonts w:ascii="Arial" w:eastAsia="Times New Roman" w:hAnsi="Arial" w:cs="Arial"/>
                <w:sz w:val="20"/>
                <w:szCs w:val="20"/>
                <w:lang w:val="en-GB"/>
              </w:rPr>
              <w:t xml:space="preserve"> </w:t>
            </w:r>
            <w:r w:rsidR="00281C0B" w:rsidRPr="009B39EC">
              <w:rPr>
                <w:rFonts w:ascii="Arial" w:eastAsia="Times New Roman" w:hAnsi="Arial" w:cs="Arial"/>
                <w:sz w:val="20"/>
                <w:szCs w:val="20"/>
                <w:lang w:val="en-GB"/>
              </w:rPr>
              <w:t xml:space="preserve">service that operates </w:t>
            </w:r>
            <w:r w:rsidR="001D5DCD" w:rsidRPr="009B39EC">
              <w:rPr>
                <w:rFonts w:ascii="Arial" w:eastAsia="Times New Roman" w:hAnsi="Arial" w:cs="Arial"/>
                <w:sz w:val="20"/>
                <w:szCs w:val="20"/>
                <w:lang w:val="en-GB"/>
              </w:rPr>
              <w:t>pursuant to</w:t>
            </w:r>
            <w:r w:rsidR="00281C0B" w:rsidRPr="009B39EC">
              <w:rPr>
                <w:rFonts w:ascii="Arial" w:eastAsia="Times New Roman" w:hAnsi="Arial" w:cs="Arial"/>
                <w:sz w:val="20"/>
                <w:szCs w:val="20"/>
                <w:lang w:val="en-GB"/>
              </w:rPr>
              <w:t xml:space="preserve"> Istanbul Convention standards. </w:t>
            </w:r>
            <w:r w:rsidRPr="009B39EC">
              <w:rPr>
                <w:rFonts w:ascii="Arial" w:eastAsia="Times New Roman" w:hAnsi="Arial" w:cs="Arial"/>
                <w:sz w:val="20"/>
                <w:szCs w:val="20"/>
                <w:lang w:val="en-GB"/>
              </w:rPr>
              <w:t xml:space="preserve">In 2018, the service received 2540 phone calls and conducted 708 face-to-face counselling sessions; in 2019 it received 3014 phone calls and conducted 861 face-to-face counselling sessions; in 2020 it received </w:t>
            </w:r>
            <w:r w:rsidR="00B86195" w:rsidRPr="009B39EC">
              <w:rPr>
                <w:rFonts w:ascii="Arial" w:eastAsia="Times New Roman" w:hAnsi="Arial" w:cs="Arial"/>
                <w:sz w:val="20"/>
                <w:szCs w:val="20"/>
                <w:lang w:val="en-GB"/>
              </w:rPr>
              <w:t xml:space="preserve">5597 </w:t>
            </w:r>
            <w:r w:rsidRPr="009B39EC">
              <w:rPr>
                <w:rFonts w:ascii="Arial" w:eastAsia="Times New Roman" w:hAnsi="Arial" w:cs="Arial"/>
                <w:sz w:val="20"/>
                <w:szCs w:val="20"/>
                <w:lang w:val="en-GB"/>
              </w:rPr>
              <w:t>phone calls and conducted</w:t>
            </w:r>
            <w:r w:rsidRPr="009B39EC">
              <w:rPr>
                <w:rFonts w:ascii="Arial" w:eastAsia="Times New Roman" w:hAnsi="Arial" w:cs="Arial"/>
                <w:b/>
                <w:bCs/>
                <w:sz w:val="20"/>
                <w:szCs w:val="20"/>
                <w:lang w:val="en-GB"/>
              </w:rPr>
              <w:t> </w:t>
            </w:r>
            <w:r w:rsidR="00B86195" w:rsidRPr="009B39EC">
              <w:rPr>
                <w:rFonts w:ascii="Arial" w:eastAsia="Times New Roman" w:hAnsi="Arial" w:cs="Arial"/>
                <w:sz w:val="20"/>
                <w:szCs w:val="20"/>
                <w:lang w:val="en-GB"/>
              </w:rPr>
              <w:t>650</w:t>
            </w:r>
            <w:r w:rsidR="00B86195" w:rsidRPr="009B39EC">
              <w:rPr>
                <w:rFonts w:ascii="Arial" w:eastAsia="Times New Roman" w:hAnsi="Arial" w:cs="Arial"/>
                <w:b/>
                <w:bCs/>
                <w:sz w:val="20"/>
                <w:szCs w:val="20"/>
                <w:lang w:val="en-GB"/>
              </w:rPr>
              <w:t> </w:t>
            </w:r>
            <w:r w:rsidRPr="009B39EC">
              <w:rPr>
                <w:rFonts w:ascii="Arial" w:eastAsia="Times New Roman" w:hAnsi="Arial" w:cs="Arial"/>
                <w:sz w:val="20"/>
                <w:szCs w:val="20"/>
                <w:lang w:val="en-GB"/>
              </w:rPr>
              <w:t>face-to-face counselling sessions</w:t>
            </w:r>
            <w:r w:rsidR="00B86195" w:rsidRPr="009B39EC">
              <w:rPr>
                <w:rFonts w:ascii="Arial" w:eastAsia="Times New Roman" w:hAnsi="Arial" w:cs="Arial"/>
                <w:sz w:val="20"/>
                <w:szCs w:val="20"/>
                <w:lang w:val="en-GB"/>
              </w:rPr>
              <w:t xml:space="preserve">, while it also has provided legal assistance and support during the court </w:t>
            </w:r>
            <w:proofErr w:type="spellStart"/>
            <w:r w:rsidR="00B86195" w:rsidRPr="009B39EC">
              <w:rPr>
                <w:rFonts w:ascii="Arial" w:eastAsia="Times New Roman" w:hAnsi="Arial" w:cs="Arial"/>
                <w:sz w:val="20"/>
                <w:szCs w:val="20"/>
                <w:lang w:val="en-GB"/>
              </w:rPr>
              <w:t>procesures</w:t>
            </w:r>
            <w:proofErr w:type="spellEnd"/>
            <w:r w:rsidR="00B86195" w:rsidRPr="009B39EC">
              <w:rPr>
                <w:rFonts w:ascii="Arial" w:eastAsia="Times New Roman" w:hAnsi="Arial" w:cs="Arial"/>
                <w:sz w:val="20"/>
                <w:szCs w:val="20"/>
                <w:lang w:val="en-GB"/>
              </w:rPr>
              <w:t xml:space="preserve"> for 750 cases</w:t>
            </w:r>
            <w:r w:rsidRPr="009B39EC">
              <w:rPr>
                <w:rFonts w:ascii="Arial" w:eastAsia="Times New Roman" w:hAnsi="Arial" w:cs="Arial"/>
                <w:sz w:val="20"/>
                <w:szCs w:val="20"/>
                <w:lang w:val="en-GB"/>
              </w:rPr>
              <w:t xml:space="preserve">. </w:t>
            </w:r>
            <w:r w:rsidR="00281C0B" w:rsidRPr="009B39EC">
              <w:rPr>
                <w:rFonts w:ascii="Arial" w:eastAsia="Times New Roman" w:hAnsi="Arial" w:cs="Arial"/>
                <w:sz w:val="20"/>
                <w:szCs w:val="20"/>
                <w:lang w:val="en-GB"/>
              </w:rPr>
              <w:t xml:space="preserve">The Counselling Line continued to operate during the lockdown </w:t>
            </w:r>
            <w:r w:rsidR="001D5DCD" w:rsidRPr="009B39EC">
              <w:rPr>
                <w:rFonts w:ascii="Arial" w:eastAsia="Times New Roman" w:hAnsi="Arial" w:cs="Arial"/>
                <w:sz w:val="20"/>
                <w:szCs w:val="20"/>
                <w:lang w:val="en-GB"/>
              </w:rPr>
              <w:t xml:space="preserve">imposed </w:t>
            </w:r>
            <w:proofErr w:type="gramStart"/>
            <w:r w:rsidR="001D5DCD" w:rsidRPr="009B39EC">
              <w:rPr>
                <w:rFonts w:ascii="Arial" w:eastAsia="Times New Roman" w:hAnsi="Arial" w:cs="Arial"/>
                <w:sz w:val="20"/>
                <w:szCs w:val="20"/>
                <w:lang w:val="en-GB"/>
              </w:rPr>
              <w:t>as a result of</w:t>
            </w:r>
            <w:proofErr w:type="gramEnd"/>
            <w:r w:rsidR="001D5DCD" w:rsidRPr="009B39EC">
              <w:rPr>
                <w:rFonts w:ascii="Arial" w:eastAsia="Times New Roman" w:hAnsi="Arial" w:cs="Arial"/>
                <w:sz w:val="20"/>
                <w:szCs w:val="20"/>
                <w:lang w:val="en-GB"/>
              </w:rPr>
              <w:t xml:space="preserve"> </w:t>
            </w:r>
            <w:r w:rsidR="009B39EC" w:rsidRPr="009B39EC">
              <w:rPr>
                <w:rFonts w:ascii="Arial" w:eastAsia="Times New Roman" w:hAnsi="Arial" w:cs="Arial"/>
                <w:sz w:val="20"/>
                <w:szCs w:val="20"/>
                <w:lang w:val="en-GB"/>
              </w:rPr>
              <w:t>the Covid</w:t>
            </w:r>
            <w:r w:rsidR="00281C0B" w:rsidRPr="009B39EC">
              <w:rPr>
                <w:rFonts w:ascii="Arial" w:eastAsia="Times New Roman" w:hAnsi="Arial" w:cs="Arial"/>
                <w:sz w:val="20"/>
                <w:szCs w:val="20"/>
                <w:lang w:val="en-GB"/>
              </w:rPr>
              <w:t>-19 pandemic. The forms of violence reported were psychological abuse</w:t>
            </w:r>
            <w:r w:rsidR="0066365C" w:rsidRPr="009B39EC">
              <w:rPr>
                <w:rFonts w:ascii="Arial" w:eastAsia="Times New Roman" w:hAnsi="Arial" w:cs="Arial"/>
                <w:sz w:val="20"/>
                <w:szCs w:val="20"/>
                <w:lang w:val="en-GB"/>
              </w:rPr>
              <w:t xml:space="preserve"> (57</w:t>
            </w:r>
            <w:r w:rsidR="007515B1" w:rsidRPr="009B39EC">
              <w:rPr>
                <w:rFonts w:ascii="Arial" w:eastAsia="Times New Roman" w:hAnsi="Arial" w:cs="Arial"/>
                <w:sz w:val="20"/>
                <w:szCs w:val="20"/>
                <w:lang w:val="en-GB"/>
              </w:rPr>
              <w:t>%</w:t>
            </w:r>
            <w:r w:rsidR="0066365C" w:rsidRPr="009B39EC">
              <w:rPr>
                <w:rFonts w:ascii="Arial" w:eastAsia="Times New Roman" w:hAnsi="Arial" w:cs="Arial"/>
                <w:sz w:val="20"/>
                <w:szCs w:val="20"/>
                <w:lang w:val="en-GB"/>
              </w:rPr>
              <w:t xml:space="preserve">), </w:t>
            </w:r>
            <w:r w:rsidR="00281C0B" w:rsidRPr="009B39EC">
              <w:rPr>
                <w:rFonts w:ascii="Arial" w:eastAsia="Times New Roman" w:hAnsi="Arial" w:cs="Arial"/>
                <w:sz w:val="20"/>
                <w:szCs w:val="20"/>
                <w:lang w:val="en-GB"/>
              </w:rPr>
              <w:t>physical abuse</w:t>
            </w:r>
            <w:r w:rsidR="0066365C" w:rsidRPr="009B39EC">
              <w:rPr>
                <w:rFonts w:ascii="Arial" w:eastAsia="Times New Roman" w:hAnsi="Arial" w:cs="Arial"/>
                <w:sz w:val="20"/>
                <w:szCs w:val="20"/>
                <w:lang w:val="en-GB"/>
              </w:rPr>
              <w:t xml:space="preserve"> (42</w:t>
            </w:r>
            <w:r w:rsidR="007515B1" w:rsidRPr="009B39EC">
              <w:rPr>
                <w:rFonts w:ascii="Arial" w:eastAsia="Times New Roman" w:hAnsi="Arial" w:cs="Arial"/>
                <w:sz w:val="20"/>
                <w:szCs w:val="20"/>
                <w:lang w:val="en-GB"/>
              </w:rPr>
              <w:t>%</w:t>
            </w:r>
            <w:r w:rsidR="0066365C" w:rsidRPr="009B39EC">
              <w:rPr>
                <w:rFonts w:ascii="Arial" w:eastAsia="Times New Roman" w:hAnsi="Arial" w:cs="Arial"/>
                <w:sz w:val="20"/>
                <w:szCs w:val="20"/>
                <w:lang w:val="en-GB"/>
              </w:rPr>
              <w:t xml:space="preserve">), </w:t>
            </w:r>
            <w:r w:rsidR="00281C0B" w:rsidRPr="009B39EC">
              <w:rPr>
                <w:rFonts w:ascii="Arial" w:eastAsia="Times New Roman" w:hAnsi="Arial" w:cs="Arial"/>
                <w:sz w:val="20"/>
                <w:szCs w:val="20"/>
                <w:lang w:val="en-GB"/>
              </w:rPr>
              <w:t>economic abuse</w:t>
            </w:r>
            <w:r w:rsidR="0066365C" w:rsidRPr="009B39EC">
              <w:rPr>
                <w:rFonts w:ascii="Arial" w:eastAsia="Times New Roman" w:hAnsi="Arial" w:cs="Arial"/>
                <w:sz w:val="20"/>
                <w:szCs w:val="20"/>
                <w:lang w:val="en-GB"/>
              </w:rPr>
              <w:t xml:space="preserve"> (31</w:t>
            </w:r>
            <w:r w:rsidR="007515B1" w:rsidRPr="009B39EC">
              <w:rPr>
                <w:rFonts w:ascii="Arial" w:eastAsia="Times New Roman" w:hAnsi="Arial" w:cs="Arial"/>
                <w:sz w:val="20"/>
                <w:szCs w:val="20"/>
                <w:lang w:val="en-GB"/>
              </w:rPr>
              <w:t>%</w:t>
            </w:r>
            <w:r w:rsidR="0066365C" w:rsidRPr="009B39EC">
              <w:rPr>
                <w:rFonts w:ascii="Arial" w:eastAsia="Times New Roman" w:hAnsi="Arial" w:cs="Arial"/>
                <w:sz w:val="20"/>
                <w:szCs w:val="20"/>
                <w:lang w:val="en-GB"/>
              </w:rPr>
              <w:t>)</w:t>
            </w:r>
            <w:r w:rsidR="00694FCA" w:rsidRPr="009B39EC">
              <w:rPr>
                <w:rFonts w:ascii="Arial" w:eastAsia="Times New Roman" w:hAnsi="Arial" w:cs="Arial"/>
                <w:sz w:val="20"/>
                <w:szCs w:val="20"/>
                <w:lang w:val="en-GB"/>
              </w:rPr>
              <w:t xml:space="preserve"> and </w:t>
            </w:r>
            <w:r w:rsidR="0066365C" w:rsidRPr="009B39EC">
              <w:rPr>
                <w:rFonts w:ascii="Arial" w:eastAsia="Times New Roman" w:hAnsi="Arial" w:cs="Arial"/>
                <w:sz w:val="20"/>
                <w:szCs w:val="20"/>
                <w:lang w:val="en-GB"/>
              </w:rPr>
              <w:t>se</w:t>
            </w:r>
            <w:r w:rsidR="00281C0B" w:rsidRPr="009B39EC">
              <w:rPr>
                <w:rFonts w:ascii="Arial" w:eastAsia="Times New Roman" w:hAnsi="Arial" w:cs="Arial"/>
                <w:sz w:val="20"/>
                <w:szCs w:val="20"/>
                <w:lang w:val="en-GB"/>
              </w:rPr>
              <w:t>xual abuse</w:t>
            </w:r>
            <w:r w:rsidR="0066365C" w:rsidRPr="009B39EC">
              <w:rPr>
                <w:rFonts w:ascii="Arial" w:eastAsia="Times New Roman" w:hAnsi="Arial" w:cs="Arial"/>
                <w:sz w:val="20"/>
                <w:szCs w:val="20"/>
                <w:lang w:val="en-GB"/>
              </w:rPr>
              <w:t xml:space="preserve"> (7 </w:t>
            </w:r>
            <w:r w:rsidR="00281C0B" w:rsidRPr="009B39EC">
              <w:rPr>
                <w:rFonts w:ascii="Arial" w:eastAsia="Times New Roman" w:hAnsi="Arial" w:cs="Arial"/>
                <w:sz w:val="20"/>
                <w:szCs w:val="20"/>
                <w:lang w:val="en-GB"/>
              </w:rPr>
              <w:t>cases</w:t>
            </w:r>
            <w:r w:rsidR="0066365C" w:rsidRPr="009B39EC">
              <w:rPr>
                <w:rFonts w:ascii="Arial" w:eastAsia="Times New Roman" w:hAnsi="Arial" w:cs="Arial"/>
                <w:sz w:val="20"/>
                <w:szCs w:val="20"/>
                <w:lang w:val="en-GB"/>
              </w:rPr>
              <w:t>)</w:t>
            </w:r>
            <w:r w:rsidR="00281C0B" w:rsidRPr="009B39EC">
              <w:rPr>
                <w:rFonts w:ascii="Arial" w:eastAsia="Times New Roman" w:hAnsi="Arial" w:cs="Arial"/>
                <w:sz w:val="20"/>
                <w:szCs w:val="20"/>
                <w:lang w:val="en-GB"/>
              </w:rPr>
              <w:t>; often these were combined. Sexual violence reporting rates remain law</w:t>
            </w:r>
            <w:r w:rsidR="0066365C" w:rsidRPr="009B39EC">
              <w:rPr>
                <w:rFonts w:ascii="Arial" w:eastAsia="Times New Roman" w:hAnsi="Arial" w:cs="Arial"/>
                <w:sz w:val="20"/>
                <w:szCs w:val="20"/>
                <w:lang w:val="en-GB"/>
              </w:rPr>
              <w:t>. </w:t>
            </w:r>
          </w:p>
          <w:p w14:paraId="1F24B15F" w14:textId="0C0DD39A" w:rsidR="00D27C25" w:rsidRPr="009B39EC" w:rsidRDefault="00512FD9" w:rsidP="00D27C25">
            <w:pPr>
              <w:jc w:val="both"/>
              <w:rPr>
                <w:rFonts w:ascii="Arial" w:eastAsia="Times New Roman" w:hAnsi="Arial" w:cs="Arial"/>
                <w:sz w:val="20"/>
                <w:szCs w:val="20"/>
                <w:lang w:val="en-GB"/>
              </w:rPr>
            </w:pPr>
            <w:r w:rsidRPr="009B39EC">
              <w:rPr>
                <w:rFonts w:ascii="Arial" w:eastAsia="Times New Roman" w:hAnsi="Arial" w:cs="Arial"/>
                <w:sz w:val="20"/>
                <w:szCs w:val="20"/>
                <w:lang w:val="en-GB"/>
              </w:rPr>
              <w:lastRenderedPageBreak/>
              <w:t xml:space="preserve">Abused children can phone </w:t>
            </w:r>
            <w:r w:rsidR="0066365C" w:rsidRPr="009B39EC">
              <w:rPr>
                <w:rFonts w:ascii="Arial" w:eastAsia="Times New Roman" w:hAnsi="Arial" w:cs="Arial"/>
                <w:b/>
                <w:bCs/>
                <w:sz w:val="20"/>
                <w:szCs w:val="20"/>
                <w:lang w:val="en-GB"/>
              </w:rPr>
              <w:t>ALO 116111</w:t>
            </w:r>
            <w:r w:rsidR="0066365C"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a specialised free-of-charge service</w:t>
            </w:r>
            <w:r w:rsidR="003D65DA" w:rsidRPr="009B39EC">
              <w:rPr>
                <w:rFonts w:ascii="Arial" w:eastAsia="Times New Roman" w:hAnsi="Arial" w:cs="Arial"/>
                <w:sz w:val="20"/>
                <w:szCs w:val="20"/>
                <w:lang w:val="en-GB"/>
              </w:rPr>
              <w:t xml:space="preserve">, available </w:t>
            </w:r>
            <w:r w:rsidR="0066365C" w:rsidRPr="009B39EC">
              <w:rPr>
                <w:rFonts w:ascii="Arial" w:eastAsia="Times New Roman" w:hAnsi="Arial" w:cs="Arial"/>
                <w:sz w:val="20"/>
                <w:szCs w:val="20"/>
                <w:lang w:val="en-GB"/>
              </w:rPr>
              <w:t xml:space="preserve">24/7, </w:t>
            </w:r>
            <w:r w:rsidR="003D65DA" w:rsidRPr="009B39EC">
              <w:rPr>
                <w:rFonts w:ascii="Arial" w:eastAsia="Times New Roman" w:hAnsi="Arial" w:cs="Arial"/>
                <w:sz w:val="20"/>
                <w:szCs w:val="20"/>
                <w:lang w:val="en-GB"/>
              </w:rPr>
              <w:t>run by a non-profit organisation which is supported by the state budget.</w:t>
            </w:r>
            <w:r w:rsidR="0066365C" w:rsidRPr="009B39EC">
              <w:rPr>
                <w:rFonts w:ascii="Arial" w:eastAsia="Times New Roman" w:hAnsi="Arial" w:cs="Arial"/>
                <w:sz w:val="20"/>
                <w:szCs w:val="20"/>
                <w:lang w:val="en-GB"/>
              </w:rPr>
              <w:t xml:space="preserve"> ALO 116111 </w:t>
            </w:r>
            <w:r w:rsidR="003D65DA" w:rsidRPr="009B39EC">
              <w:rPr>
                <w:rFonts w:ascii="Arial" w:eastAsia="Times New Roman" w:hAnsi="Arial" w:cs="Arial"/>
                <w:sz w:val="20"/>
                <w:szCs w:val="20"/>
                <w:lang w:val="en-GB"/>
              </w:rPr>
              <w:t>received</w:t>
            </w:r>
            <w:r w:rsidR="0066365C" w:rsidRPr="009B39EC">
              <w:rPr>
                <w:rFonts w:ascii="Arial" w:eastAsia="Times New Roman" w:hAnsi="Arial" w:cs="Arial"/>
                <w:sz w:val="20"/>
                <w:szCs w:val="20"/>
                <w:lang w:val="en-GB"/>
              </w:rPr>
              <w:t xml:space="preserve"> 2212 </w:t>
            </w:r>
            <w:r w:rsidR="003D65DA" w:rsidRPr="009B39EC">
              <w:rPr>
                <w:rFonts w:ascii="Arial" w:eastAsia="Times New Roman" w:hAnsi="Arial" w:cs="Arial"/>
                <w:sz w:val="20"/>
                <w:szCs w:val="20"/>
                <w:lang w:val="en-GB"/>
              </w:rPr>
              <w:t xml:space="preserve">phone calls and made </w:t>
            </w:r>
            <w:r w:rsidR="0066365C" w:rsidRPr="009B39EC">
              <w:rPr>
                <w:rFonts w:ascii="Arial" w:eastAsia="Times New Roman" w:hAnsi="Arial" w:cs="Arial"/>
                <w:sz w:val="20"/>
                <w:szCs w:val="20"/>
                <w:lang w:val="en-GB"/>
              </w:rPr>
              <w:t xml:space="preserve">1034 </w:t>
            </w:r>
            <w:r w:rsidR="003D65DA" w:rsidRPr="009B39EC">
              <w:rPr>
                <w:rFonts w:ascii="Arial" w:eastAsia="Times New Roman" w:hAnsi="Arial" w:cs="Arial"/>
                <w:sz w:val="20"/>
                <w:szCs w:val="20"/>
                <w:lang w:val="en-GB"/>
              </w:rPr>
              <w:t xml:space="preserve">referrals in </w:t>
            </w:r>
            <w:r w:rsidR="0066365C" w:rsidRPr="009B39EC">
              <w:rPr>
                <w:rFonts w:ascii="Arial" w:eastAsia="Times New Roman" w:hAnsi="Arial" w:cs="Arial"/>
                <w:sz w:val="20"/>
                <w:szCs w:val="20"/>
                <w:lang w:val="en-GB"/>
              </w:rPr>
              <w:t xml:space="preserve">2018; 4765 </w:t>
            </w:r>
            <w:r w:rsidR="003D65DA" w:rsidRPr="009B39EC">
              <w:rPr>
                <w:rFonts w:ascii="Arial" w:eastAsia="Times New Roman" w:hAnsi="Arial" w:cs="Arial"/>
                <w:sz w:val="20"/>
                <w:szCs w:val="20"/>
                <w:lang w:val="en-GB"/>
              </w:rPr>
              <w:t xml:space="preserve">phone calls and </w:t>
            </w:r>
            <w:r w:rsidR="0066365C" w:rsidRPr="009B39EC">
              <w:rPr>
                <w:rFonts w:ascii="Arial" w:eastAsia="Times New Roman" w:hAnsi="Arial" w:cs="Arial"/>
                <w:sz w:val="20"/>
                <w:szCs w:val="20"/>
                <w:lang w:val="en-GB"/>
              </w:rPr>
              <w:t xml:space="preserve">979 </w:t>
            </w:r>
            <w:r w:rsidR="003D65DA" w:rsidRPr="009B39EC">
              <w:rPr>
                <w:rFonts w:ascii="Arial" w:eastAsia="Times New Roman" w:hAnsi="Arial" w:cs="Arial"/>
                <w:sz w:val="20"/>
                <w:szCs w:val="20"/>
                <w:lang w:val="en-GB"/>
              </w:rPr>
              <w:t>referrals</w:t>
            </w:r>
            <w:r w:rsidR="0066365C"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66365C" w:rsidRPr="009B39EC">
              <w:rPr>
                <w:rFonts w:ascii="Arial" w:eastAsia="Times New Roman" w:hAnsi="Arial" w:cs="Arial"/>
                <w:sz w:val="20"/>
                <w:szCs w:val="20"/>
                <w:lang w:val="en-GB"/>
              </w:rPr>
              <w:t>19</w:t>
            </w:r>
            <w:r w:rsidR="00D27C25" w:rsidRPr="009B39EC">
              <w:rPr>
                <w:rFonts w:ascii="Arial" w:eastAsia="Times New Roman" w:hAnsi="Arial" w:cs="Arial"/>
                <w:sz w:val="20"/>
                <w:szCs w:val="20"/>
                <w:lang w:val="en-GB"/>
              </w:rPr>
              <w:t xml:space="preserve">, </w:t>
            </w:r>
            <w:r w:rsidR="00694FCA" w:rsidRPr="009B39EC">
              <w:rPr>
                <w:rFonts w:ascii="Arial" w:eastAsia="Times New Roman" w:hAnsi="Arial" w:cs="Arial"/>
                <w:sz w:val="20"/>
                <w:szCs w:val="20"/>
                <w:lang w:val="en-GB"/>
              </w:rPr>
              <w:t xml:space="preserve">and </w:t>
            </w:r>
            <w:r w:rsidR="00D27C25" w:rsidRPr="009B39EC">
              <w:rPr>
                <w:rFonts w:ascii="Arial" w:eastAsia="Times New Roman" w:hAnsi="Arial" w:cs="Arial"/>
                <w:sz w:val="20"/>
                <w:szCs w:val="20"/>
                <w:lang w:val="en-GB"/>
              </w:rPr>
              <w:t xml:space="preserve">34,912 </w:t>
            </w:r>
            <w:r w:rsidR="003D65DA" w:rsidRPr="009B39EC">
              <w:rPr>
                <w:rFonts w:ascii="Arial" w:eastAsia="Times New Roman" w:hAnsi="Arial" w:cs="Arial"/>
                <w:sz w:val="20"/>
                <w:szCs w:val="20"/>
                <w:lang w:val="en-GB"/>
              </w:rPr>
              <w:t xml:space="preserve">phone calls and </w:t>
            </w:r>
            <w:r w:rsidR="00EC61A0" w:rsidRPr="009B39EC">
              <w:rPr>
                <w:rFonts w:ascii="Arial" w:eastAsia="Times New Roman" w:hAnsi="Arial" w:cs="Arial"/>
                <w:sz w:val="20"/>
                <w:szCs w:val="20"/>
                <w:lang w:val="en-GB"/>
              </w:rPr>
              <w:t xml:space="preserve">983 cases of violence, abuse, neglect, </w:t>
            </w:r>
            <w:proofErr w:type="gramStart"/>
            <w:r w:rsidR="00EC61A0" w:rsidRPr="009B39EC">
              <w:rPr>
                <w:rFonts w:ascii="Arial" w:eastAsia="Times New Roman" w:hAnsi="Arial" w:cs="Arial"/>
                <w:sz w:val="20"/>
                <w:szCs w:val="20"/>
                <w:lang w:val="en-GB"/>
              </w:rPr>
              <w:t>exploitation</w:t>
            </w:r>
            <w:proofErr w:type="gramEnd"/>
            <w:r w:rsidR="00EC61A0" w:rsidRPr="009B39EC">
              <w:rPr>
                <w:rFonts w:ascii="Arial" w:eastAsia="Times New Roman" w:hAnsi="Arial" w:cs="Arial"/>
                <w:sz w:val="20"/>
                <w:szCs w:val="20"/>
                <w:lang w:val="en-GB"/>
              </w:rPr>
              <w:t xml:space="preserve"> and bullying reported to this service and referred to the relevant institutions,</w:t>
            </w:r>
            <w:r w:rsidR="003D65DA" w:rsidRPr="009B39EC">
              <w:rPr>
                <w:rFonts w:ascii="Arial" w:eastAsia="Times New Roman" w:hAnsi="Arial" w:cs="Arial"/>
                <w:sz w:val="20"/>
                <w:szCs w:val="20"/>
                <w:lang w:val="en-GB"/>
              </w:rPr>
              <w:t xml:space="preserve"> in</w:t>
            </w:r>
            <w:r w:rsidR="00850A6E" w:rsidRPr="009B39EC">
              <w:rPr>
                <w:rFonts w:ascii="Arial" w:eastAsia="Times New Roman" w:hAnsi="Arial" w:cs="Arial"/>
                <w:sz w:val="20"/>
                <w:szCs w:val="20"/>
                <w:lang w:val="en-GB"/>
              </w:rPr>
              <w:t xml:space="preserve"> 20</w:t>
            </w:r>
            <w:r w:rsidR="00D27C25" w:rsidRPr="009B39EC">
              <w:rPr>
                <w:rFonts w:ascii="Arial" w:eastAsia="Times New Roman" w:hAnsi="Arial" w:cs="Arial"/>
                <w:sz w:val="20"/>
                <w:szCs w:val="20"/>
                <w:lang w:val="en-GB"/>
              </w:rPr>
              <w:t xml:space="preserve">20. </w:t>
            </w:r>
            <w:r w:rsidR="00EC61A0" w:rsidRPr="009B39EC">
              <w:rPr>
                <w:rFonts w:ascii="Arial" w:eastAsia="Times New Roman" w:hAnsi="Arial" w:cs="Arial"/>
                <w:sz w:val="20"/>
                <w:szCs w:val="20"/>
                <w:lang w:val="en-GB"/>
              </w:rPr>
              <w:t xml:space="preserve">In 3570 calls, children received psycho-social support from the centre’s </w:t>
            </w:r>
            <w:proofErr w:type="spellStart"/>
            <w:r w:rsidR="00EC61A0" w:rsidRPr="009B39EC">
              <w:rPr>
                <w:rFonts w:ascii="Arial" w:eastAsia="Times New Roman" w:hAnsi="Arial" w:cs="Arial"/>
                <w:sz w:val="20"/>
                <w:szCs w:val="20"/>
                <w:lang w:val="en-GB"/>
              </w:rPr>
              <w:t>counselor</w:t>
            </w:r>
            <w:proofErr w:type="spellEnd"/>
            <w:r w:rsidR="00EC61A0" w:rsidRPr="009B39EC">
              <w:rPr>
                <w:rFonts w:ascii="Arial" w:eastAsia="Times New Roman" w:hAnsi="Arial" w:cs="Arial"/>
                <w:sz w:val="20"/>
                <w:szCs w:val="20"/>
                <w:lang w:val="en-GB"/>
              </w:rPr>
              <w:t>.</w:t>
            </w:r>
          </w:p>
          <w:p w14:paraId="3BF0B34D" w14:textId="77777777" w:rsidR="0066365C" w:rsidRPr="009B39EC" w:rsidRDefault="0066365C" w:rsidP="0066365C">
            <w:pPr>
              <w:jc w:val="both"/>
              <w:rPr>
                <w:rFonts w:ascii="Arial" w:eastAsia="Times New Roman" w:hAnsi="Arial" w:cs="Arial"/>
                <w:sz w:val="20"/>
                <w:szCs w:val="20"/>
                <w:lang w:val="en-GB"/>
              </w:rPr>
            </w:pPr>
          </w:p>
          <w:p w14:paraId="0A1C39A6" w14:textId="4812B536" w:rsidR="00D27C25" w:rsidRPr="009B39EC" w:rsidRDefault="003D65DA" w:rsidP="00D27C25">
            <w:pPr>
              <w:jc w:val="both"/>
              <w:rPr>
                <w:rFonts w:ascii="Arial" w:eastAsia="Times New Roman" w:hAnsi="Arial" w:cs="Arial"/>
                <w:b/>
                <w:bCs/>
                <w:sz w:val="20"/>
                <w:szCs w:val="20"/>
                <w:lang w:val="en-GB"/>
              </w:rPr>
            </w:pPr>
            <w:r w:rsidRPr="009B39EC">
              <w:rPr>
                <w:rFonts w:ascii="Arial" w:eastAsia="Times New Roman" w:hAnsi="Arial" w:cs="Arial"/>
                <w:sz w:val="20"/>
                <w:szCs w:val="20"/>
                <w:lang w:val="en-GB"/>
              </w:rPr>
              <w:t xml:space="preserve">Counselling </w:t>
            </w:r>
            <w:r w:rsidR="001D5DCD" w:rsidRPr="009B39EC">
              <w:rPr>
                <w:rFonts w:ascii="Arial" w:eastAsia="Times New Roman" w:hAnsi="Arial" w:cs="Arial"/>
                <w:sz w:val="20"/>
                <w:szCs w:val="20"/>
                <w:lang w:val="en-GB"/>
              </w:rPr>
              <w:t xml:space="preserve">services </w:t>
            </w:r>
            <w:r w:rsidRPr="009B39EC">
              <w:rPr>
                <w:rFonts w:ascii="Arial" w:eastAsia="Times New Roman" w:hAnsi="Arial" w:cs="Arial"/>
                <w:sz w:val="20"/>
                <w:szCs w:val="20"/>
                <w:lang w:val="en-GB"/>
              </w:rPr>
              <w:t xml:space="preserve">for abusive men and boys </w:t>
            </w:r>
            <w:r w:rsidR="001D5DCD" w:rsidRPr="009B39EC">
              <w:rPr>
                <w:rFonts w:ascii="Arial" w:eastAsia="Times New Roman" w:hAnsi="Arial" w:cs="Arial"/>
                <w:sz w:val="20"/>
                <w:szCs w:val="20"/>
                <w:lang w:val="en-GB"/>
              </w:rPr>
              <w:t>are</w:t>
            </w:r>
            <w:r w:rsidRPr="009B39EC">
              <w:rPr>
                <w:rFonts w:ascii="Arial" w:eastAsia="Times New Roman" w:hAnsi="Arial" w:cs="Arial"/>
                <w:sz w:val="20"/>
                <w:szCs w:val="20"/>
                <w:lang w:val="en-GB"/>
              </w:rPr>
              <w:t xml:space="preserve"> provided by the </w:t>
            </w:r>
            <w:r w:rsidRPr="009B39EC">
              <w:rPr>
                <w:rFonts w:ascii="Arial" w:eastAsia="Times New Roman" w:hAnsi="Arial" w:cs="Arial"/>
                <w:b/>
                <w:bCs/>
                <w:sz w:val="20"/>
                <w:szCs w:val="20"/>
                <w:lang w:val="en-GB"/>
              </w:rPr>
              <w:t>Counselling Line for Men and Boys</w:t>
            </w:r>
            <w:r w:rsidR="0066365C" w:rsidRPr="009B39EC">
              <w:rPr>
                <w:rFonts w:ascii="Arial" w:eastAsia="Times New Roman" w:hAnsi="Arial" w:cs="Arial"/>
                <w:b/>
                <w:bCs/>
                <w:sz w:val="20"/>
                <w:szCs w:val="20"/>
                <w:lang w:val="en-GB"/>
              </w:rPr>
              <w:t xml:space="preserve"> (</w:t>
            </w:r>
            <w:r w:rsidR="001D5DCD" w:rsidRPr="009B39EC">
              <w:rPr>
                <w:rFonts w:ascii="Arial" w:eastAsia="Times New Roman" w:hAnsi="Arial" w:cs="Arial"/>
                <w:b/>
                <w:bCs/>
                <w:sz w:val="20"/>
                <w:szCs w:val="20"/>
                <w:lang w:val="en-GB"/>
              </w:rPr>
              <w:t>CLMB</w:t>
            </w:r>
            <w:r w:rsidR="0066365C" w:rsidRPr="009B39EC">
              <w:rPr>
                <w:rFonts w:ascii="Arial" w:eastAsia="Times New Roman" w:hAnsi="Arial" w:cs="Arial"/>
                <w:b/>
                <w:bCs/>
                <w:sz w:val="20"/>
                <w:szCs w:val="20"/>
                <w:lang w:val="en-GB"/>
              </w:rPr>
              <w:t>)</w:t>
            </w:r>
            <w:r w:rsidR="0066365C"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 xml:space="preserve">operating </w:t>
            </w:r>
            <w:r w:rsidR="001D5DCD" w:rsidRPr="009B39EC">
              <w:rPr>
                <w:rFonts w:ascii="Arial" w:eastAsia="Times New Roman" w:hAnsi="Arial" w:cs="Arial"/>
                <w:sz w:val="20"/>
                <w:szCs w:val="20"/>
                <w:lang w:val="en-GB"/>
              </w:rPr>
              <w:t>in</w:t>
            </w:r>
            <w:r w:rsidRPr="009B39EC">
              <w:rPr>
                <w:rFonts w:ascii="Arial" w:eastAsia="Times New Roman" w:hAnsi="Arial" w:cs="Arial"/>
                <w:sz w:val="20"/>
                <w:szCs w:val="20"/>
                <w:lang w:val="en-GB"/>
              </w:rPr>
              <w:t xml:space="preserve"> Tirana and Shkodra</w:t>
            </w:r>
            <w:r w:rsidR="0066365C"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The Tirana branch</w:t>
            </w:r>
            <w:r w:rsidR="001D5DCD" w:rsidRPr="009B39EC">
              <w:rPr>
                <w:rFonts w:ascii="Arial" w:eastAsia="Times New Roman" w:hAnsi="Arial" w:cs="Arial"/>
                <w:sz w:val="20"/>
                <w:szCs w:val="20"/>
                <w:lang w:val="en-GB"/>
              </w:rPr>
              <w:t xml:space="preserve"> of the</w:t>
            </w:r>
            <w:r w:rsidRPr="009B39EC">
              <w:rPr>
                <w:rFonts w:ascii="Arial" w:eastAsia="Times New Roman" w:hAnsi="Arial" w:cs="Arial"/>
                <w:sz w:val="20"/>
                <w:szCs w:val="20"/>
                <w:lang w:val="en-GB"/>
              </w:rPr>
              <w:t xml:space="preserve"> </w:t>
            </w:r>
            <w:r w:rsidR="001D5DCD" w:rsidRPr="009B39EC">
              <w:rPr>
                <w:rFonts w:ascii="Arial" w:eastAsia="Times New Roman" w:hAnsi="Arial" w:cs="Arial"/>
                <w:sz w:val="20"/>
                <w:szCs w:val="20"/>
                <w:lang w:val="en-GB"/>
              </w:rPr>
              <w:t xml:space="preserve">CLMB </w:t>
            </w:r>
            <w:r w:rsidRPr="009B39EC">
              <w:rPr>
                <w:rFonts w:ascii="Arial" w:eastAsia="Times New Roman" w:hAnsi="Arial" w:cs="Arial"/>
                <w:sz w:val="20"/>
                <w:szCs w:val="20"/>
                <w:lang w:val="en-GB"/>
              </w:rPr>
              <w:t xml:space="preserve">treated </w:t>
            </w:r>
            <w:r w:rsidR="00D27C25" w:rsidRPr="009B39EC">
              <w:rPr>
                <w:rFonts w:ascii="Arial" w:eastAsia="Times New Roman" w:hAnsi="Arial" w:cs="Arial"/>
                <w:sz w:val="20"/>
                <w:szCs w:val="20"/>
                <w:lang w:val="en-GB"/>
              </w:rPr>
              <w:t>90</w:t>
            </w:r>
            <w:r w:rsidR="0066365C"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cases</w:t>
            </w:r>
            <w:r w:rsidR="00D27C25"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D27C25" w:rsidRPr="009B39EC">
              <w:rPr>
                <w:rFonts w:ascii="Arial" w:eastAsia="Times New Roman" w:hAnsi="Arial" w:cs="Arial"/>
                <w:sz w:val="20"/>
                <w:szCs w:val="20"/>
                <w:lang w:val="en-GB"/>
              </w:rPr>
              <w:t xml:space="preserve">18, 110 </w:t>
            </w:r>
            <w:r w:rsidRPr="009B39EC">
              <w:rPr>
                <w:rFonts w:ascii="Arial" w:eastAsia="Times New Roman" w:hAnsi="Arial" w:cs="Arial"/>
                <w:sz w:val="20"/>
                <w:szCs w:val="20"/>
                <w:lang w:val="en-GB"/>
              </w:rPr>
              <w:t>cases</w:t>
            </w:r>
            <w:r w:rsidR="00D27C25"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D27C25" w:rsidRPr="009B39EC">
              <w:rPr>
                <w:rFonts w:ascii="Arial" w:eastAsia="Times New Roman" w:hAnsi="Arial" w:cs="Arial"/>
                <w:sz w:val="20"/>
                <w:szCs w:val="20"/>
                <w:lang w:val="en-GB"/>
              </w:rPr>
              <w:t xml:space="preserve">19 </w:t>
            </w:r>
            <w:r w:rsidRPr="009B39EC">
              <w:rPr>
                <w:rFonts w:ascii="Arial" w:eastAsia="Times New Roman" w:hAnsi="Arial" w:cs="Arial"/>
                <w:sz w:val="20"/>
                <w:szCs w:val="20"/>
                <w:lang w:val="en-GB"/>
              </w:rPr>
              <w:t>and</w:t>
            </w:r>
            <w:r w:rsidR="00694FCA" w:rsidRPr="009B39EC">
              <w:rPr>
                <w:rFonts w:ascii="Arial" w:eastAsia="Times New Roman" w:hAnsi="Arial" w:cs="Arial"/>
                <w:sz w:val="20"/>
                <w:szCs w:val="20"/>
                <w:lang w:val="en-GB"/>
              </w:rPr>
              <w:t xml:space="preserve"> </w:t>
            </w:r>
            <w:r w:rsidR="00D27C25" w:rsidRPr="009B39EC">
              <w:rPr>
                <w:rFonts w:ascii="Arial" w:eastAsia="Times New Roman" w:hAnsi="Arial" w:cs="Arial"/>
                <w:sz w:val="20"/>
                <w:szCs w:val="20"/>
                <w:lang w:val="en-GB"/>
              </w:rPr>
              <w:t xml:space="preserve">98 </w:t>
            </w:r>
            <w:r w:rsidRPr="009B39EC">
              <w:rPr>
                <w:rFonts w:ascii="Arial" w:eastAsia="Times New Roman" w:hAnsi="Arial" w:cs="Arial"/>
                <w:sz w:val="20"/>
                <w:szCs w:val="20"/>
                <w:lang w:val="en-GB"/>
              </w:rPr>
              <w:t>cases</w:t>
            </w:r>
            <w:r w:rsidR="00D27C25"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D27C25" w:rsidRPr="009B39EC">
              <w:rPr>
                <w:rFonts w:ascii="Arial" w:eastAsia="Times New Roman" w:hAnsi="Arial" w:cs="Arial"/>
                <w:sz w:val="20"/>
                <w:szCs w:val="20"/>
                <w:lang w:val="en-GB"/>
              </w:rPr>
              <w:t xml:space="preserve">20. </w:t>
            </w:r>
            <w:r w:rsidRPr="009B39EC">
              <w:rPr>
                <w:rFonts w:ascii="Arial" w:eastAsia="Times New Roman" w:hAnsi="Arial" w:cs="Arial"/>
                <w:sz w:val="20"/>
                <w:szCs w:val="20"/>
                <w:lang w:val="en-GB"/>
              </w:rPr>
              <w:t xml:space="preserve">Of these, </w:t>
            </w:r>
            <w:r w:rsidR="00D27C25" w:rsidRPr="009B39EC">
              <w:rPr>
                <w:rFonts w:ascii="Arial" w:eastAsia="Times New Roman" w:hAnsi="Arial" w:cs="Arial"/>
                <w:sz w:val="20"/>
                <w:szCs w:val="20"/>
                <w:lang w:val="en-GB"/>
              </w:rPr>
              <w:t xml:space="preserve">78 </w:t>
            </w:r>
            <w:r w:rsidRPr="009B39EC">
              <w:rPr>
                <w:rFonts w:ascii="Arial" w:eastAsia="Times New Roman" w:hAnsi="Arial" w:cs="Arial"/>
                <w:sz w:val="20"/>
                <w:szCs w:val="20"/>
                <w:lang w:val="en-GB"/>
              </w:rPr>
              <w:t>cases</w:t>
            </w:r>
            <w:r w:rsidR="00D27C25"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D27C25" w:rsidRPr="009B39EC">
              <w:rPr>
                <w:rFonts w:ascii="Arial" w:eastAsia="Times New Roman" w:hAnsi="Arial" w:cs="Arial"/>
                <w:sz w:val="20"/>
                <w:szCs w:val="20"/>
                <w:lang w:val="en-GB"/>
              </w:rPr>
              <w:t xml:space="preserve">18, 76 </w:t>
            </w:r>
            <w:r w:rsidRPr="009B39EC">
              <w:rPr>
                <w:rFonts w:ascii="Arial" w:eastAsia="Times New Roman" w:hAnsi="Arial" w:cs="Arial"/>
                <w:sz w:val="20"/>
                <w:szCs w:val="20"/>
                <w:lang w:val="en-GB"/>
              </w:rPr>
              <w:t>cases</w:t>
            </w:r>
            <w:r w:rsidR="00D27C25"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D27C25" w:rsidRPr="009B39EC">
              <w:rPr>
                <w:rFonts w:ascii="Arial" w:eastAsia="Times New Roman" w:hAnsi="Arial" w:cs="Arial"/>
                <w:sz w:val="20"/>
                <w:szCs w:val="20"/>
                <w:lang w:val="en-GB"/>
              </w:rPr>
              <w:t>19</w:t>
            </w:r>
            <w:r w:rsidR="00694FCA" w:rsidRPr="009B39EC">
              <w:rPr>
                <w:rFonts w:ascii="Arial" w:eastAsia="Times New Roman" w:hAnsi="Arial" w:cs="Arial"/>
                <w:sz w:val="20"/>
                <w:szCs w:val="20"/>
                <w:lang w:val="en-GB"/>
              </w:rPr>
              <w:t xml:space="preserve"> and </w:t>
            </w:r>
            <w:r w:rsidR="00D27C25" w:rsidRPr="009B39EC">
              <w:rPr>
                <w:rFonts w:ascii="Arial" w:eastAsia="Times New Roman" w:hAnsi="Arial" w:cs="Arial"/>
                <w:sz w:val="20"/>
                <w:szCs w:val="20"/>
                <w:lang w:val="en-GB"/>
              </w:rPr>
              <w:t xml:space="preserve">44 </w:t>
            </w:r>
            <w:r w:rsidRPr="009B39EC">
              <w:rPr>
                <w:rFonts w:ascii="Arial" w:eastAsia="Times New Roman" w:hAnsi="Arial" w:cs="Arial"/>
                <w:sz w:val="20"/>
                <w:szCs w:val="20"/>
                <w:lang w:val="en-GB"/>
              </w:rPr>
              <w:t>cases</w:t>
            </w:r>
            <w:r w:rsidR="00D27C25" w:rsidRPr="009B39EC">
              <w:rPr>
                <w:rFonts w:ascii="Arial" w:eastAsia="Times New Roman" w:hAnsi="Arial" w:cs="Arial"/>
                <w:sz w:val="20"/>
                <w:szCs w:val="20"/>
                <w:lang w:val="en-GB"/>
              </w:rPr>
              <w:t xml:space="preserve"> </w:t>
            </w:r>
            <w:r w:rsidR="00850A6E" w:rsidRPr="009B39EC">
              <w:rPr>
                <w:rFonts w:ascii="Arial" w:eastAsia="Times New Roman" w:hAnsi="Arial" w:cs="Arial"/>
                <w:sz w:val="20"/>
                <w:szCs w:val="20"/>
                <w:lang w:val="en-GB"/>
              </w:rPr>
              <w:t>in 20</w:t>
            </w:r>
            <w:r w:rsidR="00D27C25" w:rsidRPr="009B39EC">
              <w:rPr>
                <w:rFonts w:ascii="Arial" w:eastAsia="Times New Roman" w:hAnsi="Arial" w:cs="Arial"/>
                <w:sz w:val="20"/>
                <w:szCs w:val="20"/>
                <w:lang w:val="en-GB"/>
              </w:rPr>
              <w:t>20</w:t>
            </w:r>
            <w:r w:rsidR="0066365C"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had a legal obligation to attend the rehabilitation programme for perpetrators</w:t>
            </w:r>
            <w:r w:rsidR="0066365C" w:rsidRPr="009B39EC">
              <w:rPr>
                <w:rFonts w:ascii="Arial" w:eastAsia="Times New Roman" w:hAnsi="Arial" w:cs="Arial"/>
                <w:sz w:val="20"/>
                <w:szCs w:val="20"/>
                <w:lang w:val="en-GB"/>
              </w:rPr>
              <w:t>.</w:t>
            </w:r>
            <w:r w:rsidR="0066365C" w:rsidRPr="009B39EC">
              <w:rPr>
                <w:rFonts w:ascii="Arial" w:eastAsia="Times New Roman" w:hAnsi="Arial" w:cs="Arial"/>
                <w:b/>
                <w:bCs/>
                <w:sz w:val="20"/>
                <w:szCs w:val="20"/>
                <w:lang w:val="en-GB"/>
              </w:rPr>
              <w:t> </w:t>
            </w:r>
          </w:p>
          <w:p w14:paraId="4C5270AF" w14:textId="11B9D566" w:rsidR="00AF28E3" w:rsidRPr="009B39EC" w:rsidRDefault="00AF28E3" w:rsidP="00D27C25">
            <w:pPr>
              <w:jc w:val="both"/>
              <w:rPr>
                <w:rFonts w:ascii="Arial" w:eastAsia="Times New Roman" w:hAnsi="Arial" w:cs="Arial"/>
                <w:b/>
                <w:bCs/>
                <w:sz w:val="20"/>
                <w:szCs w:val="20"/>
                <w:lang w:val="en-GB"/>
              </w:rPr>
            </w:pPr>
          </w:p>
          <w:p w14:paraId="213C6C25" w14:textId="2E6B3B2B" w:rsidR="00AF28E3" w:rsidRPr="009B39EC" w:rsidRDefault="003D65DA" w:rsidP="00D27C25">
            <w:pPr>
              <w:jc w:val="both"/>
              <w:rPr>
                <w:rFonts w:ascii="Arial" w:eastAsia="Times New Roman" w:hAnsi="Arial" w:cs="Arial"/>
                <w:sz w:val="20"/>
                <w:szCs w:val="20"/>
                <w:lang w:val="en-GB"/>
              </w:rPr>
            </w:pPr>
            <w:r w:rsidRPr="009B39EC">
              <w:rPr>
                <w:rFonts w:ascii="Arial" w:eastAsia="Times New Roman" w:hAnsi="Arial" w:cs="Arial"/>
                <w:sz w:val="20"/>
                <w:szCs w:val="20"/>
                <w:lang w:val="en-GB"/>
              </w:rPr>
              <w:t xml:space="preserve">The </w:t>
            </w:r>
            <w:r w:rsidR="00445CB5" w:rsidRPr="009B39EC">
              <w:rPr>
                <w:rFonts w:ascii="Arial" w:eastAsia="Times New Roman" w:hAnsi="Arial" w:cs="Arial"/>
                <w:b/>
                <w:bCs/>
                <w:sz w:val="20"/>
                <w:szCs w:val="20"/>
                <w:lang w:val="en-GB"/>
              </w:rPr>
              <w:t>Ombudsman’s</w:t>
            </w:r>
            <w:r w:rsidRPr="009B39EC">
              <w:rPr>
                <w:rFonts w:ascii="Arial" w:eastAsia="Times New Roman" w:hAnsi="Arial" w:cs="Arial"/>
                <w:b/>
                <w:bCs/>
                <w:sz w:val="20"/>
                <w:szCs w:val="20"/>
                <w:lang w:val="en-GB"/>
              </w:rPr>
              <w:t xml:space="preserve"> Office</w:t>
            </w:r>
            <w:r w:rsidRPr="009B39EC">
              <w:rPr>
                <w:rFonts w:ascii="Arial" w:eastAsia="Times New Roman" w:hAnsi="Arial" w:cs="Arial"/>
                <w:sz w:val="20"/>
                <w:szCs w:val="20"/>
                <w:lang w:val="en-GB"/>
              </w:rPr>
              <w:t xml:space="preserve"> has also established close collaboration with civil society organisations with a focus on the protection of women’s rights and gender equality. Pursuant to Article</w:t>
            </w:r>
            <w:r w:rsidR="00AF28E3" w:rsidRPr="009B39EC">
              <w:rPr>
                <w:rFonts w:ascii="Arial" w:eastAsia="Times New Roman" w:hAnsi="Arial" w:cs="Arial"/>
                <w:sz w:val="20"/>
                <w:szCs w:val="20"/>
                <w:lang w:val="en-GB"/>
              </w:rPr>
              <w:t xml:space="preserve"> 30 </w:t>
            </w:r>
            <w:r w:rsidRPr="009B39EC">
              <w:rPr>
                <w:rFonts w:ascii="Arial" w:eastAsia="Times New Roman" w:hAnsi="Arial" w:cs="Arial"/>
                <w:sz w:val="20"/>
                <w:szCs w:val="20"/>
                <w:lang w:val="en-GB"/>
              </w:rPr>
              <w:t xml:space="preserve">of the Law on the Ombudsperson, </w:t>
            </w:r>
            <w:r w:rsidR="007C6E58" w:rsidRPr="009B39EC">
              <w:rPr>
                <w:rFonts w:ascii="Arial" w:eastAsia="Times New Roman" w:hAnsi="Arial" w:cs="Arial"/>
                <w:sz w:val="20"/>
                <w:szCs w:val="20"/>
                <w:lang w:val="en-GB"/>
              </w:rPr>
              <w:t xml:space="preserve">the </w:t>
            </w:r>
            <w:r w:rsidR="00846A69" w:rsidRPr="009B39EC">
              <w:rPr>
                <w:rFonts w:ascii="Arial" w:eastAsia="Times New Roman" w:hAnsi="Arial" w:cs="Arial"/>
                <w:sz w:val="20"/>
                <w:szCs w:val="20"/>
                <w:lang w:val="en-GB"/>
              </w:rPr>
              <w:t>Ombudsperson’s</w:t>
            </w:r>
            <w:r w:rsidR="001D5DCD" w:rsidRPr="009B39EC">
              <w:rPr>
                <w:rFonts w:ascii="Arial" w:eastAsia="Times New Roman" w:hAnsi="Arial" w:cs="Arial"/>
                <w:sz w:val="20"/>
                <w:szCs w:val="20"/>
                <w:lang w:val="en-GB"/>
              </w:rPr>
              <w:t xml:space="preserve"> </w:t>
            </w:r>
            <w:r w:rsidR="007C6E58" w:rsidRPr="009B39EC">
              <w:rPr>
                <w:rFonts w:ascii="Arial" w:eastAsia="Times New Roman" w:hAnsi="Arial" w:cs="Arial"/>
                <w:sz w:val="20"/>
                <w:szCs w:val="20"/>
                <w:lang w:val="en-GB"/>
              </w:rPr>
              <w:t xml:space="preserve">Office organises consultative meetings with civil society </w:t>
            </w:r>
            <w:r w:rsidR="00445CB5" w:rsidRPr="009B39EC">
              <w:rPr>
                <w:rFonts w:ascii="Arial" w:eastAsia="Times New Roman" w:hAnsi="Arial" w:cs="Arial"/>
                <w:sz w:val="20"/>
                <w:szCs w:val="20"/>
                <w:lang w:val="en-GB"/>
              </w:rPr>
              <w:t xml:space="preserve">organisations </w:t>
            </w:r>
            <w:r w:rsidR="001D5DCD" w:rsidRPr="009B39EC">
              <w:rPr>
                <w:rFonts w:ascii="Arial" w:eastAsia="Times New Roman" w:hAnsi="Arial" w:cs="Arial"/>
                <w:sz w:val="20"/>
                <w:szCs w:val="20"/>
                <w:lang w:val="en-GB"/>
              </w:rPr>
              <w:t xml:space="preserve">involved </w:t>
            </w:r>
            <w:r w:rsidR="007C6E58" w:rsidRPr="009B39EC">
              <w:rPr>
                <w:rFonts w:ascii="Arial" w:eastAsia="Times New Roman" w:hAnsi="Arial" w:cs="Arial"/>
                <w:sz w:val="20"/>
                <w:szCs w:val="20"/>
                <w:lang w:val="en-GB"/>
              </w:rPr>
              <w:t>in the areas of women’s rights and fight against violence against women in Albania, wh</w:t>
            </w:r>
            <w:r w:rsidR="001D5DCD" w:rsidRPr="009B39EC">
              <w:rPr>
                <w:rFonts w:ascii="Arial" w:eastAsia="Times New Roman" w:hAnsi="Arial" w:cs="Arial"/>
                <w:sz w:val="20"/>
                <w:szCs w:val="20"/>
                <w:lang w:val="en-GB"/>
              </w:rPr>
              <w:t xml:space="preserve">ere </w:t>
            </w:r>
            <w:r w:rsidR="007C6E58" w:rsidRPr="009B39EC">
              <w:rPr>
                <w:rFonts w:ascii="Arial" w:eastAsia="Times New Roman" w:hAnsi="Arial" w:cs="Arial"/>
                <w:sz w:val="20"/>
                <w:szCs w:val="20"/>
                <w:lang w:val="en-GB"/>
              </w:rPr>
              <w:t xml:space="preserve">information </w:t>
            </w:r>
            <w:r w:rsidR="001D5DCD" w:rsidRPr="009B39EC">
              <w:rPr>
                <w:rFonts w:ascii="Arial" w:eastAsia="Times New Roman" w:hAnsi="Arial" w:cs="Arial"/>
                <w:sz w:val="20"/>
                <w:szCs w:val="20"/>
                <w:lang w:val="en-GB"/>
              </w:rPr>
              <w:t>on</w:t>
            </w:r>
            <w:r w:rsidR="00ED004A" w:rsidRPr="009B39EC">
              <w:rPr>
                <w:rFonts w:ascii="Arial" w:eastAsia="Times New Roman" w:hAnsi="Arial" w:cs="Arial"/>
                <w:sz w:val="20"/>
                <w:szCs w:val="20"/>
                <w:lang w:val="en-GB"/>
              </w:rPr>
              <w:t xml:space="preserve"> </w:t>
            </w:r>
            <w:r w:rsidR="007C6E58" w:rsidRPr="009B39EC">
              <w:rPr>
                <w:rFonts w:ascii="Arial" w:eastAsia="Times New Roman" w:hAnsi="Arial" w:cs="Arial"/>
                <w:sz w:val="20"/>
                <w:szCs w:val="20"/>
                <w:lang w:val="en-GB"/>
              </w:rPr>
              <w:t>and opinions about the situation of human rights and freedoms in the country</w:t>
            </w:r>
            <w:r w:rsidR="00ED004A" w:rsidRPr="009B39EC">
              <w:rPr>
                <w:rFonts w:ascii="Arial" w:eastAsia="Times New Roman" w:hAnsi="Arial" w:cs="Arial"/>
                <w:sz w:val="20"/>
                <w:szCs w:val="20"/>
                <w:lang w:val="en-GB"/>
              </w:rPr>
              <w:t xml:space="preserve"> are discussed</w:t>
            </w:r>
            <w:r w:rsidR="00AF28E3" w:rsidRPr="009B39EC">
              <w:rPr>
                <w:rFonts w:ascii="Arial" w:eastAsia="Times New Roman" w:hAnsi="Arial" w:cs="Arial"/>
                <w:sz w:val="20"/>
                <w:szCs w:val="20"/>
                <w:lang w:val="en-GB"/>
              </w:rPr>
              <w:t>.</w:t>
            </w:r>
          </w:p>
          <w:p w14:paraId="62C9A51B" w14:textId="6CCFD765" w:rsidR="00EC61A0" w:rsidRPr="009B39EC" w:rsidRDefault="00EC61A0" w:rsidP="00D27C25">
            <w:pPr>
              <w:jc w:val="both"/>
              <w:rPr>
                <w:rFonts w:ascii="Arial" w:eastAsia="Times New Roman" w:hAnsi="Arial" w:cs="Arial"/>
                <w:sz w:val="20"/>
                <w:szCs w:val="20"/>
                <w:lang w:val="en-GB"/>
              </w:rPr>
            </w:pPr>
          </w:p>
          <w:p w14:paraId="7C872EAE" w14:textId="27277A99" w:rsidR="00EC61A0" w:rsidRPr="009B39EC" w:rsidRDefault="00EC61A0" w:rsidP="00D27C25">
            <w:pPr>
              <w:jc w:val="both"/>
              <w:rPr>
                <w:rFonts w:ascii="Arial" w:eastAsia="Times New Roman" w:hAnsi="Arial" w:cs="Arial"/>
                <w:sz w:val="20"/>
                <w:szCs w:val="20"/>
                <w:lang w:val="en-GB"/>
              </w:rPr>
            </w:pPr>
            <w:r w:rsidRPr="009B39EC">
              <w:rPr>
                <w:rFonts w:ascii="Arial" w:eastAsia="Times New Roman" w:hAnsi="Arial" w:cs="Arial"/>
                <w:b/>
                <w:bCs/>
                <w:sz w:val="20"/>
                <w:szCs w:val="20"/>
                <w:lang w:val="en-GB"/>
              </w:rPr>
              <w:t>The Commissioner for Protection against Discrimination</w:t>
            </w:r>
            <w:r w:rsidRPr="009B39EC">
              <w:rPr>
                <w:rFonts w:ascii="Arial" w:eastAsia="Times New Roman" w:hAnsi="Arial" w:cs="Arial"/>
                <w:sz w:val="20"/>
                <w:szCs w:val="20"/>
                <w:lang w:val="en-GB"/>
              </w:rPr>
              <w:t xml:space="preserve"> works closely with relevant non-governmental and civil society organizations, providing ongoing assistance especially to groups suffering from multiple discrimination.</w:t>
            </w:r>
            <w:r w:rsidR="00236CF3" w:rsidRPr="009B39EC">
              <w:rPr>
                <w:rFonts w:ascii="Arial" w:hAnsi="Arial" w:cs="Arial"/>
                <w:sz w:val="20"/>
                <w:szCs w:val="20"/>
              </w:rPr>
              <w:t xml:space="preserve"> </w:t>
            </w:r>
            <w:r w:rsidR="00236CF3" w:rsidRPr="009B39EC">
              <w:rPr>
                <w:rFonts w:ascii="Arial" w:eastAsia="Times New Roman" w:hAnsi="Arial" w:cs="Arial"/>
                <w:sz w:val="20"/>
                <w:szCs w:val="20"/>
                <w:lang w:val="en-GB"/>
              </w:rPr>
              <w:t>In this regard, we can mention that in the Law "On Protection from Discrimination", the definition of "multiple discrimination" has been added, as a form of discrimination.</w:t>
            </w:r>
            <w:r w:rsidR="00236CF3" w:rsidRPr="009B39EC">
              <w:rPr>
                <w:rFonts w:ascii="Arial" w:hAnsi="Arial" w:cs="Arial"/>
                <w:sz w:val="20"/>
                <w:szCs w:val="20"/>
              </w:rPr>
              <w:t xml:space="preserve"> </w:t>
            </w:r>
            <w:r w:rsidR="00236CF3" w:rsidRPr="009B39EC">
              <w:rPr>
                <w:rFonts w:ascii="Arial" w:eastAsia="Times New Roman" w:hAnsi="Arial" w:cs="Arial"/>
                <w:sz w:val="20"/>
                <w:szCs w:val="20"/>
                <w:lang w:val="en-GB"/>
              </w:rPr>
              <w:t>The Commissioner for Protection from Discrimination also provides cooperation with civil society organizations focusing on the protection of women's rights and gender equality.</w:t>
            </w:r>
          </w:p>
          <w:p w14:paraId="2AC70B16" w14:textId="77DC4CF9" w:rsidR="0066365C" w:rsidRPr="009B39EC" w:rsidRDefault="00D27C25" w:rsidP="00D27C25">
            <w:pPr>
              <w:jc w:val="both"/>
              <w:rPr>
                <w:rFonts w:ascii="Arial" w:hAnsi="Arial" w:cs="Arial"/>
                <w:sz w:val="20"/>
                <w:szCs w:val="20"/>
                <w:lang w:val="en-GB"/>
              </w:rPr>
            </w:pPr>
            <w:r w:rsidRPr="009B39EC">
              <w:rPr>
                <w:rFonts w:ascii="Arial" w:eastAsia="Times New Roman" w:hAnsi="Arial" w:cs="Arial"/>
                <w:sz w:val="20"/>
                <w:szCs w:val="20"/>
                <w:lang w:val="en-GB"/>
              </w:rPr>
              <w:t xml:space="preserve"> </w:t>
            </w:r>
          </w:p>
        </w:tc>
      </w:tr>
      <w:tr w:rsidR="00CA765E" w:rsidRPr="009B39EC" w14:paraId="3E756360" w14:textId="77777777" w:rsidTr="004860C4">
        <w:tc>
          <w:tcPr>
            <w:tcW w:w="216" w:type="pct"/>
          </w:tcPr>
          <w:p w14:paraId="0FAA8233"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lastRenderedPageBreak/>
              <w:t>16.2</w:t>
            </w:r>
          </w:p>
        </w:tc>
        <w:tc>
          <w:tcPr>
            <w:tcW w:w="4784" w:type="pct"/>
            <w:gridSpan w:val="3"/>
          </w:tcPr>
          <w:p w14:paraId="4D403722" w14:textId="78445EC4" w:rsidR="00CA765E" w:rsidRPr="009B39EC" w:rsidRDefault="00047815" w:rsidP="00CA765E">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CA765E" w:rsidRPr="009B39EC">
              <w:rPr>
                <w:rFonts w:ascii="Arial" w:hAnsi="Arial" w:cs="Arial"/>
                <w:sz w:val="20"/>
                <w:szCs w:val="20"/>
                <w:lang w:val="en-GB"/>
              </w:rPr>
              <w:t>:</w:t>
            </w:r>
          </w:p>
          <w:p w14:paraId="22414EB6" w14:textId="77777777" w:rsidR="00CA765E" w:rsidRPr="009B39EC" w:rsidRDefault="00CA765E" w:rsidP="00577A37">
            <w:pPr>
              <w:jc w:val="both"/>
              <w:rPr>
                <w:rFonts w:ascii="Arial" w:hAnsi="Arial" w:cs="Arial"/>
                <w:sz w:val="20"/>
                <w:szCs w:val="20"/>
                <w:lang w:val="en-GB"/>
              </w:rPr>
            </w:pPr>
          </w:p>
        </w:tc>
      </w:tr>
      <w:tr w:rsidR="00CA765E" w:rsidRPr="009B39EC" w14:paraId="25FE8B35" w14:textId="77777777" w:rsidTr="004769AB">
        <w:tc>
          <w:tcPr>
            <w:tcW w:w="5000" w:type="pct"/>
            <w:gridSpan w:val="4"/>
            <w:shd w:val="clear" w:color="auto" w:fill="FBE4D5" w:themeFill="accent2" w:themeFillTint="33"/>
          </w:tcPr>
          <w:p w14:paraId="387229C0" w14:textId="77777777" w:rsidR="00CA765E" w:rsidRPr="009B39EC" w:rsidRDefault="00CA765E" w:rsidP="00CA765E">
            <w:pPr>
              <w:pStyle w:val="NoSpacing"/>
              <w:ind w:left="1080"/>
              <w:jc w:val="both"/>
              <w:rPr>
                <w:rFonts w:ascii="Arial" w:hAnsi="Arial" w:cs="Arial"/>
                <w:b/>
                <w:bCs/>
                <w:sz w:val="20"/>
                <w:szCs w:val="20"/>
                <w:lang w:val="en-GB"/>
              </w:rPr>
            </w:pPr>
          </w:p>
          <w:p w14:paraId="5E7F924D" w14:textId="77777777" w:rsidR="00CA765E" w:rsidRPr="009B39EC" w:rsidRDefault="00047815" w:rsidP="0093507B">
            <w:pPr>
              <w:pStyle w:val="ListParagraph"/>
              <w:numPr>
                <w:ilvl w:val="0"/>
                <w:numId w:val="3"/>
              </w:numPr>
              <w:jc w:val="both"/>
              <w:rPr>
                <w:rFonts w:ascii="Arial" w:hAnsi="Arial" w:cs="Arial"/>
                <w:sz w:val="20"/>
                <w:szCs w:val="20"/>
                <w:lang w:val="en-GB"/>
              </w:rPr>
            </w:pPr>
            <w:r w:rsidRPr="009B39EC">
              <w:rPr>
                <w:rFonts w:ascii="Arial" w:hAnsi="Arial" w:cs="Arial"/>
                <w:b/>
                <w:bCs/>
                <w:sz w:val="20"/>
                <w:szCs w:val="20"/>
                <w:lang w:val="en-GB"/>
              </w:rPr>
              <w:t>Data collection and research</w:t>
            </w:r>
            <w:r w:rsidR="0093507B" w:rsidRPr="009B39EC">
              <w:rPr>
                <w:rFonts w:ascii="Arial" w:hAnsi="Arial" w:cs="Arial"/>
                <w:b/>
                <w:bCs/>
                <w:sz w:val="20"/>
                <w:szCs w:val="20"/>
                <w:lang w:val="en-GB"/>
              </w:rPr>
              <w:t xml:space="preserve"> (</w:t>
            </w:r>
            <w:r w:rsidRPr="009B39EC">
              <w:rPr>
                <w:rFonts w:ascii="Arial" w:hAnsi="Arial" w:cs="Arial"/>
                <w:b/>
                <w:bCs/>
                <w:sz w:val="20"/>
                <w:szCs w:val="20"/>
                <w:lang w:val="en-GB"/>
              </w:rPr>
              <w:t>Article</w:t>
            </w:r>
            <w:r w:rsidR="0093507B" w:rsidRPr="009B39EC">
              <w:rPr>
                <w:rFonts w:ascii="Arial" w:hAnsi="Arial" w:cs="Arial"/>
                <w:b/>
                <w:bCs/>
                <w:sz w:val="20"/>
                <w:szCs w:val="20"/>
                <w:lang w:val="en-GB"/>
              </w:rPr>
              <w:t xml:space="preserve"> 11)</w:t>
            </w:r>
          </w:p>
          <w:p w14:paraId="55A13F19" w14:textId="56D5ADF6" w:rsidR="009B39EC" w:rsidRPr="009B39EC" w:rsidRDefault="009B39EC" w:rsidP="009B39EC">
            <w:pPr>
              <w:pStyle w:val="ListParagraph"/>
              <w:ind w:left="1080"/>
              <w:jc w:val="both"/>
              <w:rPr>
                <w:rFonts w:ascii="Arial" w:hAnsi="Arial" w:cs="Arial"/>
                <w:sz w:val="20"/>
                <w:szCs w:val="20"/>
                <w:lang w:val="en-GB"/>
              </w:rPr>
            </w:pPr>
          </w:p>
        </w:tc>
      </w:tr>
      <w:tr w:rsidR="00CA765E" w:rsidRPr="009B39EC" w14:paraId="2C8201CE" w14:textId="77777777" w:rsidTr="00047815">
        <w:tc>
          <w:tcPr>
            <w:tcW w:w="216" w:type="pct"/>
            <w:shd w:val="clear" w:color="auto" w:fill="FBE4D5" w:themeFill="accent2" w:themeFillTint="33"/>
          </w:tcPr>
          <w:p w14:paraId="312F4406"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17</w:t>
            </w:r>
          </w:p>
        </w:tc>
        <w:tc>
          <w:tcPr>
            <w:tcW w:w="3497" w:type="pct"/>
            <w:shd w:val="clear" w:color="auto" w:fill="FBE4D5" w:themeFill="accent2" w:themeFillTint="33"/>
          </w:tcPr>
          <w:p w14:paraId="68D7907E" w14:textId="2395CDB6" w:rsidR="0093507B" w:rsidRPr="009B39EC" w:rsidRDefault="00047815" w:rsidP="00CA765E">
            <w:pPr>
              <w:pStyle w:val="NoSpacing"/>
              <w:jc w:val="both"/>
              <w:rPr>
                <w:rFonts w:ascii="Arial" w:hAnsi="Arial" w:cs="Arial"/>
                <w:sz w:val="20"/>
                <w:szCs w:val="20"/>
                <w:lang w:val="en-GB"/>
              </w:rPr>
            </w:pPr>
            <w:r w:rsidRPr="009B39EC">
              <w:rPr>
                <w:rFonts w:ascii="Arial" w:hAnsi="Arial" w:cs="Arial"/>
                <w:sz w:val="20"/>
                <w:szCs w:val="20"/>
                <w:lang w:val="en-GB"/>
              </w:rPr>
              <w:t>In implementation of the recommendation addressed to your authorities, have new sectors of the administration started the collection of data in accordance with the requirements of Article 11, paragraph 1</w:t>
            </w:r>
            <w:r w:rsidR="0093507B" w:rsidRPr="009B39EC">
              <w:rPr>
                <w:rFonts w:ascii="Arial" w:hAnsi="Arial" w:cs="Arial"/>
                <w:sz w:val="20"/>
                <w:szCs w:val="20"/>
                <w:lang w:val="en-GB"/>
              </w:rPr>
              <w:t>?</w:t>
            </w:r>
          </w:p>
          <w:p w14:paraId="3949F093" w14:textId="77777777" w:rsidR="00CA765E" w:rsidRPr="009B39EC" w:rsidRDefault="00CA765E" w:rsidP="00CA765E">
            <w:pPr>
              <w:pStyle w:val="NoSpacing"/>
              <w:jc w:val="both"/>
              <w:rPr>
                <w:rFonts w:ascii="Arial" w:hAnsi="Arial" w:cs="Arial"/>
                <w:sz w:val="20"/>
                <w:szCs w:val="20"/>
                <w:lang w:val="en-GB"/>
              </w:rPr>
            </w:pPr>
          </w:p>
        </w:tc>
        <w:tc>
          <w:tcPr>
            <w:tcW w:w="800" w:type="pct"/>
            <w:shd w:val="clear" w:color="auto" w:fill="FBE4D5" w:themeFill="accent2" w:themeFillTint="33"/>
          </w:tcPr>
          <w:p w14:paraId="649F0DA5" w14:textId="0168F67A" w:rsidR="00CA765E" w:rsidRPr="009B39EC" w:rsidRDefault="00A65624" w:rsidP="00CA765E">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573349595"/>
                <w14:checkbox>
                  <w14:checked w14:val="0"/>
                  <w14:checkedState w14:val="2612" w14:font="MS Gothic"/>
                  <w14:uncheckedState w14:val="2610" w14:font="MS Gothic"/>
                </w14:checkbox>
              </w:sdtPr>
              <w:sdtEndPr/>
              <w:sdtContent>
                <w:r w:rsidR="00CA765E"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44DB4F67" w14:textId="52DB63BB" w:rsidR="00CA765E" w:rsidRPr="009B39EC" w:rsidRDefault="00A65624" w:rsidP="00CA765E">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687134205"/>
                <w14:checkbox>
                  <w14:checked w14:val="0"/>
                  <w14:checkedState w14:val="2612" w14:font="MS Gothic"/>
                  <w14:uncheckedState w14:val="2610" w14:font="MS Gothic"/>
                </w14:checkbox>
              </w:sdtPr>
              <w:sdtEndPr/>
              <w:sdtContent>
                <w:r w:rsidR="00CA765E" w:rsidRPr="009B39EC">
                  <w:rPr>
                    <w:rFonts w:ascii="Segoe UI Symbol" w:eastAsia="MS Gothic" w:hAnsi="Segoe UI Symbol" w:cs="Segoe UI Symbol"/>
                    <w:sz w:val="20"/>
                    <w:szCs w:val="20"/>
                    <w:lang w:val="en-GB"/>
                  </w:rPr>
                  <w:t>☐</w:t>
                </w:r>
              </w:sdtContent>
            </w:sdt>
          </w:p>
        </w:tc>
      </w:tr>
      <w:tr w:rsidR="00CA765E" w:rsidRPr="009B39EC" w14:paraId="06B00FE4" w14:textId="77777777" w:rsidTr="004860C4">
        <w:tc>
          <w:tcPr>
            <w:tcW w:w="216" w:type="pct"/>
            <w:shd w:val="clear" w:color="auto" w:fill="FBE4D5" w:themeFill="accent2" w:themeFillTint="33"/>
          </w:tcPr>
          <w:p w14:paraId="128BF815"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17.1</w:t>
            </w:r>
          </w:p>
        </w:tc>
        <w:tc>
          <w:tcPr>
            <w:tcW w:w="4784" w:type="pct"/>
            <w:gridSpan w:val="3"/>
            <w:shd w:val="clear" w:color="auto" w:fill="FBE4D5" w:themeFill="accent2" w:themeFillTint="33"/>
          </w:tcPr>
          <w:p w14:paraId="383FE7E5" w14:textId="7D290C48" w:rsidR="00CA765E" w:rsidRPr="009B39EC" w:rsidRDefault="00047815" w:rsidP="00CA765E">
            <w:pPr>
              <w:jc w:val="both"/>
              <w:rPr>
                <w:rFonts w:ascii="Arial" w:hAnsi="Arial" w:cs="Arial"/>
                <w:sz w:val="20"/>
                <w:szCs w:val="20"/>
                <w:lang w:val="en-GB"/>
              </w:rPr>
            </w:pPr>
            <w:r w:rsidRPr="009B39EC">
              <w:rPr>
                <w:rFonts w:ascii="Arial" w:hAnsi="Arial" w:cs="Arial"/>
                <w:sz w:val="20"/>
                <w:szCs w:val="20"/>
                <w:lang w:val="en-GB"/>
              </w:rPr>
              <w:t>If yes, please specify which sectors</w:t>
            </w:r>
            <w:r w:rsidR="0093507B" w:rsidRPr="009B39EC">
              <w:rPr>
                <w:rFonts w:ascii="Arial" w:hAnsi="Arial" w:cs="Arial"/>
                <w:sz w:val="20"/>
                <w:szCs w:val="20"/>
                <w:lang w:val="en-GB"/>
              </w:rPr>
              <w:t>:</w:t>
            </w:r>
          </w:p>
        </w:tc>
      </w:tr>
      <w:tr w:rsidR="00CA765E" w:rsidRPr="009B39EC" w14:paraId="546E86F8" w14:textId="77777777" w:rsidTr="004860C4">
        <w:tc>
          <w:tcPr>
            <w:tcW w:w="216" w:type="pct"/>
            <w:shd w:val="clear" w:color="auto" w:fill="FBE4D5" w:themeFill="accent2" w:themeFillTint="33"/>
          </w:tcPr>
          <w:p w14:paraId="2B5E4D2F"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17.2</w:t>
            </w:r>
          </w:p>
        </w:tc>
        <w:tc>
          <w:tcPr>
            <w:tcW w:w="4784" w:type="pct"/>
            <w:gridSpan w:val="3"/>
            <w:shd w:val="clear" w:color="auto" w:fill="FBE4D5" w:themeFill="accent2" w:themeFillTint="33"/>
          </w:tcPr>
          <w:p w14:paraId="7AF307EE" w14:textId="7584BBBF" w:rsidR="0093507B" w:rsidRPr="009B39EC" w:rsidRDefault="00047815" w:rsidP="0093507B">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93507B" w:rsidRPr="009B39EC">
              <w:rPr>
                <w:rFonts w:ascii="Arial" w:hAnsi="Arial" w:cs="Arial"/>
                <w:sz w:val="20"/>
                <w:szCs w:val="20"/>
                <w:lang w:val="en-GB"/>
              </w:rPr>
              <w:t>:</w:t>
            </w:r>
          </w:p>
          <w:p w14:paraId="02FA3922" w14:textId="0CDFA614" w:rsidR="00CA765E" w:rsidRPr="009B39EC" w:rsidRDefault="00CA765E" w:rsidP="00CA765E">
            <w:pPr>
              <w:jc w:val="both"/>
              <w:rPr>
                <w:rFonts w:ascii="Arial" w:hAnsi="Arial" w:cs="Arial"/>
                <w:sz w:val="20"/>
                <w:szCs w:val="20"/>
                <w:lang w:val="en-GB"/>
              </w:rPr>
            </w:pPr>
          </w:p>
        </w:tc>
      </w:tr>
      <w:tr w:rsidR="00CA765E" w:rsidRPr="009B39EC" w14:paraId="70F5BB5B" w14:textId="77777777" w:rsidTr="00047815">
        <w:tc>
          <w:tcPr>
            <w:tcW w:w="216" w:type="pct"/>
          </w:tcPr>
          <w:p w14:paraId="2F3CCC16"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18</w:t>
            </w:r>
          </w:p>
        </w:tc>
        <w:tc>
          <w:tcPr>
            <w:tcW w:w="3497" w:type="pct"/>
          </w:tcPr>
          <w:p w14:paraId="019B88AB" w14:textId="48FFCB0A" w:rsidR="00CA765E" w:rsidRPr="009B39EC" w:rsidRDefault="00047815" w:rsidP="00CA765E">
            <w:pPr>
              <w:pStyle w:val="NoSpacing"/>
              <w:jc w:val="both"/>
              <w:rPr>
                <w:rFonts w:ascii="Arial" w:hAnsi="Arial" w:cs="Arial"/>
                <w:sz w:val="20"/>
                <w:szCs w:val="20"/>
                <w:lang w:val="en-GB"/>
              </w:rPr>
            </w:pPr>
            <w:r w:rsidRPr="009B39EC">
              <w:rPr>
                <w:rFonts w:ascii="Arial" w:hAnsi="Arial" w:cs="Arial"/>
                <w:sz w:val="20"/>
                <w:szCs w:val="20"/>
                <w:lang w:val="en-GB"/>
              </w:rPr>
              <w:t>In implementation of the recommendation addressed to your authorities, have sectors of the administration improved their data collection</w:t>
            </w:r>
            <w:r w:rsidR="00E770C6" w:rsidRPr="009B39EC">
              <w:rPr>
                <w:rFonts w:ascii="Arial" w:hAnsi="Arial" w:cs="Arial"/>
                <w:sz w:val="20"/>
                <w:szCs w:val="20"/>
                <w:lang w:val="en-GB"/>
              </w:rPr>
              <w:t>?</w:t>
            </w:r>
          </w:p>
        </w:tc>
        <w:tc>
          <w:tcPr>
            <w:tcW w:w="800" w:type="pct"/>
          </w:tcPr>
          <w:p w14:paraId="46D6C078" w14:textId="3402FE46" w:rsidR="00CA765E" w:rsidRPr="009B39EC" w:rsidRDefault="00A65624" w:rsidP="00CA765E">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72903047"/>
                <w14:checkbox>
                  <w14:checked w14:val="1"/>
                  <w14:checkedState w14:val="2612" w14:font="MS Gothic"/>
                  <w14:uncheckedState w14:val="2610" w14:font="MS Gothic"/>
                </w14:checkbox>
              </w:sdtPr>
              <w:sdtEndPr/>
              <w:sdtContent>
                <w:r w:rsidR="00E770C6" w:rsidRPr="009B39EC">
                  <w:rPr>
                    <w:rFonts w:ascii="Segoe UI Symbol" w:eastAsia="MS Gothic" w:hAnsi="Segoe UI Symbol" w:cs="Segoe UI Symbol"/>
                    <w:sz w:val="20"/>
                    <w:szCs w:val="20"/>
                    <w:lang w:val="en-GB"/>
                  </w:rPr>
                  <w:t>☒</w:t>
                </w:r>
              </w:sdtContent>
            </w:sdt>
          </w:p>
        </w:tc>
        <w:tc>
          <w:tcPr>
            <w:tcW w:w="487" w:type="pct"/>
          </w:tcPr>
          <w:p w14:paraId="37A285DA"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85771239"/>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CA765E" w:rsidRPr="009B39EC" w14:paraId="04A6FF78" w14:textId="77777777" w:rsidTr="004860C4">
        <w:tc>
          <w:tcPr>
            <w:tcW w:w="216" w:type="pct"/>
          </w:tcPr>
          <w:p w14:paraId="1E2196FC"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18.1</w:t>
            </w:r>
          </w:p>
        </w:tc>
        <w:tc>
          <w:tcPr>
            <w:tcW w:w="4784" w:type="pct"/>
            <w:gridSpan w:val="3"/>
          </w:tcPr>
          <w:p w14:paraId="47F5A286" w14:textId="74AB16AE" w:rsidR="00E770C6" w:rsidRPr="009B39EC" w:rsidRDefault="002A16E9" w:rsidP="00E770C6">
            <w:pPr>
              <w:jc w:val="both"/>
              <w:rPr>
                <w:rFonts w:ascii="Arial" w:hAnsi="Arial" w:cs="Arial"/>
                <w:sz w:val="20"/>
                <w:szCs w:val="20"/>
                <w:lang w:val="en-GB"/>
              </w:rPr>
            </w:pPr>
            <w:r w:rsidRPr="009B39EC">
              <w:rPr>
                <w:rFonts w:ascii="Arial" w:hAnsi="Arial" w:cs="Arial"/>
                <w:sz w:val="20"/>
                <w:szCs w:val="20"/>
                <w:lang w:val="en-GB"/>
              </w:rPr>
              <w:t>I</w:t>
            </w:r>
            <w:r w:rsidR="00047815" w:rsidRPr="009B39EC">
              <w:rPr>
                <w:rFonts w:ascii="Arial" w:hAnsi="Arial" w:cs="Arial"/>
                <w:sz w:val="20"/>
                <w:szCs w:val="20"/>
                <w:lang w:val="en-GB"/>
              </w:rPr>
              <w:t xml:space="preserve"> If yes, please specify which sectors and how, </w:t>
            </w:r>
            <w:proofErr w:type="gramStart"/>
            <w:r w:rsidR="00047815" w:rsidRPr="009B39EC">
              <w:rPr>
                <w:rFonts w:ascii="Arial" w:hAnsi="Arial" w:cs="Arial"/>
                <w:sz w:val="20"/>
                <w:szCs w:val="20"/>
                <w:lang w:val="en-GB"/>
              </w:rPr>
              <w:t>in particular whether</w:t>
            </w:r>
            <w:proofErr w:type="gramEnd"/>
            <w:r w:rsidR="00047815" w:rsidRPr="009B39EC">
              <w:rPr>
                <w:rFonts w:ascii="Arial" w:hAnsi="Arial" w:cs="Arial"/>
                <w:sz w:val="20"/>
                <w:szCs w:val="20"/>
                <w:lang w:val="en-GB"/>
              </w:rPr>
              <w:t xml:space="preserve"> new data categories were added</w:t>
            </w:r>
            <w:r w:rsidR="00E770C6" w:rsidRPr="009B39EC">
              <w:rPr>
                <w:rFonts w:ascii="Arial" w:hAnsi="Arial" w:cs="Arial"/>
                <w:sz w:val="20"/>
                <w:szCs w:val="20"/>
                <w:lang w:val="en-GB"/>
              </w:rPr>
              <w:t>:</w:t>
            </w:r>
          </w:p>
          <w:p w14:paraId="3ADD5133" w14:textId="77777777" w:rsidR="00CA765E" w:rsidRPr="009B39EC" w:rsidRDefault="00CA765E" w:rsidP="00CA765E">
            <w:pPr>
              <w:jc w:val="both"/>
              <w:rPr>
                <w:rFonts w:ascii="Arial" w:hAnsi="Arial" w:cs="Arial"/>
                <w:sz w:val="20"/>
                <w:szCs w:val="20"/>
                <w:lang w:val="en-GB"/>
              </w:rPr>
            </w:pPr>
          </w:p>
          <w:p w14:paraId="57BCDD62" w14:textId="5C98FAD9" w:rsidR="00577A37" w:rsidRPr="009B39EC" w:rsidRDefault="007C6E58" w:rsidP="006D55F3">
            <w:pPr>
              <w:jc w:val="both"/>
              <w:rPr>
                <w:rFonts w:ascii="Arial" w:hAnsi="Arial" w:cs="Arial"/>
                <w:sz w:val="20"/>
                <w:szCs w:val="20"/>
                <w:lang w:val="en-GB"/>
              </w:rPr>
            </w:pPr>
            <w:r w:rsidRPr="009B39EC">
              <w:rPr>
                <w:rFonts w:ascii="Arial" w:hAnsi="Arial" w:cs="Arial"/>
                <w:sz w:val="20"/>
                <w:szCs w:val="20"/>
                <w:lang w:val="en-GB"/>
              </w:rPr>
              <w:t xml:space="preserve">Pursuant to Article </w:t>
            </w:r>
            <w:r w:rsidR="00577A37" w:rsidRPr="009B39EC">
              <w:rPr>
                <w:rFonts w:ascii="Arial" w:hAnsi="Arial" w:cs="Arial"/>
                <w:sz w:val="20"/>
                <w:szCs w:val="20"/>
                <w:lang w:val="en-GB"/>
              </w:rPr>
              <w:t xml:space="preserve">11 </w:t>
            </w:r>
            <w:r w:rsidRPr="009B39EC">
              <w:rPr>
                <w:rFonts w:ascii="Arial" w:hAnsi="Arial" w:cs="Arial"/>
                <w:sz w:val="20"/>
                <w:szCs w:val="20"/>
                <w:lang w:val="en-GB"/>
              </w:rPr>
              <w:t>of the Istanbul Convention</w:t>
            </w:r>
            <w:r w:rsidR="00236CF3" w:rsidRPr="009B39EC">
              <w:rPr>
                <w:rFonts w:ascii="Arial" w:hAnsi="Arial" w:cs="Arial"/>
                <w:sz w:val="20"/>
                <w:szCs w:val="20"/>
                <w:lang w:val="en-GB"/>
              </w:rPr>
              <w:t xml:space="preserve"> and in the Albanian legislation</w:t>
            </w:r>
            <w:r w:rsidR="00577A37" w:rsidRPr="009B39EC">
              <w:rPr>
                <w:rFonts w:ascii="Arial" w:hAnsi="Arial" w:cs="Arial"/>
                <w:sz w:val="20"/>
                <w:szCs w:val="20"/>
                <w:lang w:val="en-GB"/>
              </w:rPr>
              <w:t xml:space="preserve">, </w:t>
            </w:r>
            <w:r w:rsidRPr="009B39EC">
              <w:rPr>
                <w:rFonts w:ascii="Arial" w:hAnsi="Arial" w:cs="Arial"/>
                <w:sz w:val="20"/>
                <w:szCs w:val="20"/>
                <w:lang w:val="en-GB"/>
              </w:rPr>
              <w:t xml:space="preserve">every five years, </w:t>
            </w:r>
            <w:r w:rsidR="00577A37" w:rsidRPr="009B39EC">
              <w:rPr>
                <w:rFonts w:ascii="Arial" w:hAnsi="Arial" w:cs="Arial"/>
                <w:sz w:val="20"/>
                <w:szCs w:val="20"/>
                <w:lang w:val="en-GB"/>
              </w:rPr>
              <w:t>INSTAT</w:t>
            </w:r>
            <w:r w:rsidR="00ED004A" w:rsidRPr="009B39EC">
              <w:rPr>
                <w:rFonts w:ascii="Arial" w:hAnsi="Arial" w:cs="Arial"/>
                <w:sz w:val="20"/>
                <w:szCs w:val="20"/>
                <w:lang w:val="en-GB"/>
              </w:rPr>
              <w:t>,</w:t>
            </w:r>
            <w:r w:rsidRPr="009B39EC">
              <w:rPr>
                <w:rFonts w:ascii="Arial" w:hAnsi="Arial" w:cs="Arial"/>
                <w:sz w:val="20"/>
                <w:szCs w:val="20"/>
                <w:lang w:val="en-GB"/>
              </w:rPr>
              <w:t xml:space="preserve"> </w:t>
            </w:r>
            <w:r w:rsidR="00577A37" w:rsidRPr="009B39EC">
              <w:rPr>
                <w:rFonts w:ascii="Arial" w:hAnsi="Arial" w:cs="Arial"/>
                <w:sz w:val="20"/>
                <w:szCs w:val="20"/>
                <w:lang w:val="en-GB"/>
              </w:rPr>
              <w:t xml:space="preserve">UN </w:t>
            </w:r>
            <w:r w:rsidR="004E1005" w:rsidRPr="009B39EC">
              <w:rPr>
                <w:rFonts w:ascii="Arial" w:hAnsi="Arial" w:cs="Arial"/>
                <w:sz w:val="20"/>
                <w:szCs w:val="20"/>
                <w:lang w:val="en-GB"/>
              </w:rPr>
              <w:t>W</w:t>
            </w:r>
            <w:r w:rsidR="00577A37" w:rsidRPr="009B39EC">
              <w:rPr>
                <w:rFonts w:ascii="Arial" w:hAnsi="Arial" w:cs="Arial"/>
                <w:sz w:val="20"/>
                <w:szCs w:val="20"/>
                <w:lang w:val="en-GB"/>
              </w:rPr>
              <w:t>omen</w:t>
            </w:r>
            <w:r w:rsidR="00694FCA" w:rsidRPr="009B39EC">
              <w:rPr>
                <w:rFonts w:ascii="Arial" w:hAnsi="Arial" w:cs="Arial"/>
                <w:sz w:val="20"/>
                <w:szCs w:val="20"/>
                <w:lang w:val="en-GB"/>
              </w:rPr>
              <w:t xml:space="preserve"> and </w:t>
            </w:r>
            <w:r w:rsidR="00577A37" w:rsidRPr="009B39EC">
              <w:rPr>
                <w:rFonts w:ascii="Arial" w:hAnsi="Arial" w:cs="Arial"/>
                <w:sz w:val="20"/>
                <w:szCs w:val="20"/>
                <w:lang w:val="en-GB"/>
              </w:rPr>
              <w:t xml:space="preserve">UNDP </w:t>
            </w:r>
            <w:r w:rsidRPr="009B39EC">
              <w:rPr>
                <w:rFonts w:ascii="Arial" w:hAnsi="Arial" w:cs="Arial"/>
                <w:sz w:val="20"/>
                <w:szCs w:val="20"/>
                <w:lang w:val="en-GB"/>
              </w:rPr>
              <w:t>conduct the Survey</w:t>
            </w:r>
            <w:r w:rsidR="00577A37" w:rsidRPr="009B39EC">
              <w:rPr>
                <w:rFonts w:ascii="Arial" w:hAnsi="Arial" w:cs="Arial"/>
                <w:sz w:val="20"/>
                <w:szCs w:val="20"/>
                <w:lang w:val="en-GB"/>
              </w:rPr>
              <w:t xml:space="preserve"> “</w:t>
            </w:r>
            <w:r w:rsidRPr="009B39EC">
              <w:rPr>
                <w:rFonts w:ascii="Arial" w:hAnsi="Arial" w:cs="Arial"/>
                <w:sz w:val="20"/>
                <w:szCs w:val="20"/>
                <w:lang w:val="en-GB"/>
              </w:rPr>
              <w:t>Violence Against Women and Girls in Albania</w:t>
            </w:r>
            <w:r w:rsidR="00577A37" w:rsidRPr="009B39EC">
              <w:rPr>
                <w:rFonts w:ascii="Arial" w:hAnsi="Arial" w:cs="Arial"/>
                <w:sz w:val="20"/>
                <w:szCs w:val="20"/>
                <w:lang w:val="en-GB"/>
              </w:rPr>
              <w:t xml:space="preserve">”. </w:t>
            </w:r>
            <w:r w:rsidRPr="009B39EC">
              <w:rPr>
                <w:rFonts w:ascii="Arial" w:hAnsi="Arial" w:cs="Arial"/>
                <w:sz w:val="20"/>
                <w:szCs w:val="20"/>
                <w:lang w:val="en-GB"/>
              </w:rPr>
              <w:t xml:space="preserve">The third periodical survey was held in </w:t>
            </w:r>
            <w:r w:rsidR="00577A37" w:rsidRPr="009B39EC">
              <w:rPr>
                <w:rFonts w:ascii="Arial" w:hAnsi="Arial" w:cs="Arial"/>
                <w:sz w:val="20"/>
                <w:szCs w:val="20"/>
                <w:lang w:val="en-GB"/>
              </w:rPr>
              <w:t>2018</w:t>
            </w:r>
            <w:r w:rsidR="00904E99" w:rsidRPr="009B39EC">
              <w:rPr>
                <w:rFonts w:ascii="Arial" w:hAnsi="Arial" w:cs="Arial"/>
                <w:sz w:val="20"/>
                <w:szCs w:val="20"/>
                <w:lang w:val="en-GB"/>
              </w:rPr>
              <w:t xml:space="preserve">. It </w:t>
            </w:r>
            <w:r w:rsidR="00ED004A" w:rsidRPr="009B39EC">
              <w:rPr>
                <w:rFonts w:ascii="Arial" w:hAnsi="Arial" w:cs="Arial"/>
                <w:sz w:val="20"/>
                <w:szCs w:val="20"/>
                <w:lang w:val="en-GB"/>
              </w:rPr>
              <w:t xml:space="preserve">included questions on </w:t>
            </w:r>
            <w:r w:rsidR="00904E99" w:rsidRPr="009B39EC">
              <w:rPr>
                <w:rFonts w:ascii="Arial" w:hAnsi="Arial" w:cs="Arial"/>
                <w:sz w:val="20"/>
                <w:szCs w:val="20"/>
                <w:lang w:val="en-GB"/>
              </w:rPr>
              <w:t xml:space="preserve">additional forms of violence and for the first time </w:t>
            </w:r>
            <w:r w:rsidR="00ED004A" w:rsidRPr="009B39EC">
              <w:rPr>
                <w:rFonts w:ascii="Arial" w:hAnsi="Arial" w:cs="Arial"/>
                <w:sz w:val="20"/>
                <w:szCs w:val="20"/>
                <w:lang w:val="en-GB"/>
              </w:rPr>
              <w:t xml:space="preserve">it featured </w:t>
            </w:r>
            <w:r w:rsidR="00904E99" w:rsidRPr="009B39EC">
              <w:rPr>
                <w:rFonts w:ascii="Arial" w:hAnsi="Arial" w:cs="Arial"/>
                <w:sz w:val="20"/>
                <w:szCs w:val="20"/>
                <w:lang w:val="en-GB"/>
              </w:rPr>
              <w:t>questions about social norms, attitudes and behaviours related to violence against women and girls</w:t>
            </w:r>
            <w:r w:rsidR="00577A37" w:rsidRPr="009B39EC">
              <w:rPr>
                <w:rFonts w:ascii="Arial" w:hAnsi="Arial" w:cs="Arial"/>
                <w:sz w:val="20"/>
                <w:szCs w:val="20"/>
                <w:lang w:val="en-GB"/>
              </w:rPr>
              <w:t xml:space="preserve">. </w:t>
            </w:r>
            <w:r w:rsidR="00904E99" w:rsidRPr="009B39EC">
              <w:rPr>
                <w:rFonts w:ascii="Arial" w:hAnsi="Arial" w:cs="Arial"/>
                <w:sz w:val="20"/>
                <w:szCs w:val="20"/>
                <w:lang w:val="en-GB"/>
              </w:rPr>
              <w:t xml:space="preserve">The data collected and </w:t>
            </w:r>
            <w:r w:rsidR="00904E99" w:rsidRPr="009B39EC">
              <w:rPr>
                <w:rFonts w:ascii="Arial" w:hAnsi="Arial" w:cs="Arial"/>
                <w:sz w:val="20"/>
                <w:szCs w:val="20"/>
                <w:lang w:val="en-GB"/>
              </w:rPr>
              <w:lastRenderedPageBreak/>
              <w:t xml:space="preserve">the publication </w:t>
            </w:r>
            <w:r w:rsidR="00ED004A" w:rsidRPr="009B39EC">
              <w:rPr>
                <w:rFonts w:ascii="Arial" w:hAnsi="Arial" w:cs="Arial"/>
                <w:sz w:val="20"/>
                <w:szCs w:val="20"/>
                <w:lang w:val="en-GB"/>
              </w:rPr>
              <w:t xml:space="preserve">itself </w:t>
            </w:r>
            <w:r w:rsidR="00904E99" w:rsidRPr="009B39EC">
              <w:rPr>
                <w:rFonts w:ascii="Arial" w:hAnsi="Arial" w:cs="Arial"/>
                <w:sz w:val="20"/>
                <w:szCs w:val="20"/>
                <w:lang w:val="en-GB"/>
              </w:rPr>
              <w:t xml:space="preserve">are </w:t>
            </w:r>
            <w:r w:rsidR="00ED004A" w:rsidRPr="009B39EC">
              <w:rPr>
                <w:rFonts w:ascii="Arial" w:hAnsi="Arial" w:cs="Arial"/>
                <w:sz w:val="20"/>
                <w:szCs w:val="20"/>
                <w:lang w:val="en-GB"/>
              </w:rPr>
              <w:t xml:space="preserve">publicly </w:t>
            </w:r>
            <w:r w:rsidR="00904E99" w:rsidRPr="009B39EC">
              <w:rPr>
                <w:rFonts w:ascii="Arial" w:hAnsi="Arial" w:cs="Arial"/>
                <w:sz w:val="20"/>
                <w:szCs w:val="20"/>
                <w:lang w:val="en-GB"/>
              </w:rPr>
              <w:t>available on the official INSTAT website</w:t>
            </w:r>
            <w:r w:rsidR="00577A37" w:rsidRPr="009B39EC">
              <w:rPr>
                <w:rFonts w:ascii="Arial" w:hAnsi="Arial" w:cs="Arial"/>
                <w:sz w:val="20"/>
                <w:szCs w:val="20"/>
                <w:lang w:val="en-GB"/>
              </w:rPr>
              <w:t xml:space="preserve">, </w:t>
            </w:r>
            <w:r w:rsidR="00904E99" w:rsidRPr="009B39EC">
              <w:rPr>
                <w:rFonts w:ascii="Arial" w:hAnsi="Arial" w:cs="Arial"/>
                <w:sz w:val="20"/>
                <w:szCs w:val="20"/>
                <w:lang w:val="en-GB"/>
              </w:rPr>
              <w:t xml:space="preserve">in fulfilment of Article </w:t>
            </w:r>
            <w:r w:rsidR="00577A37" w:rsidRPr="009B39EC">
              <w:rPr>
                <w:rFonts w:ascii="Arial" w:hAnsi="Arial" w:cs="Arial"/>
                <w:sz w:val="20"/>
                <w:szCs w:val="20"/>
                <w:lang w:val="en-GB"/>
              </w:rPr>
              <w:t>11</w:t>
            </w:r>
            <w:r w:rsidR="00904E99" w:rsidRPr="009B39EC">
              <w:rPr>
                <w:rFonts w:ascii="Arial" w:hAnsi="Arial" w:cs="Arial"/>
                <w:sz w:val="20"/>
                <w:szCs w:val="20"/>
                <w:lang w:val="en-GB"/>
              </w:rPr>
              <w:t>, point 4</w:t>
            </w:r>
            <w:r w:rsidR="00577A37" w:rsidRPr="009B39EC">
              <w:rPr>
                <w:rStyle w:val="FootnoteReference"/>
                <w:rFonts w:ascii="Arial" w:hAnsi="Arial" w:cs="Arial"/>
                <w:sz w:val="20"/>
                <w:szCs w:val="20"/>
                <w:lang w:val="en-GB"/>
              </w:rPr>
              <w:footnoteReference w:id="7"/>
            </w:r>
            <w:r w:rsidR="00577A37" w:rsidRPr="009B39EC">
              <w:rPr>
                <w:rFonts w:ascii="Arial" w:hAnsi="Arial" w:cs="Arial"/>
                <w:sz w:val="20"/>
                <w:szCs w:val="20"/>
                <w:lang w:val="en-GB"/>
              </w:rPr>
              <w:t xml:space="preserve">. </w:t>
            </w:r>
            <w:r w:rsidR="00904E99" w:rsidRPr="009B39EC">
              <w:rPr>
                <w:rFonts w:ascii="Arial" w:hAnsi="Arial" w:cs="Arial"/>
                <w:sz w:val="20"/>
                <w:szCs w:val="20"/>
                <w:lang w:val="en-GB"/>
              </w:rPr>
              <w:t>The Survey</w:t>
            </w:r>
            <w:r w:rsidR="006D55F3" w:rsidRPr="009B39EC">
              <w:rPr>
                <w:rFonts w:ascii="Arial" w:hAnsi="Arial" w:cs="Arial"/>
                <w:sz w:val="20"/>
                <w:szCs w:val="20"/>
                <w:lang w:val="en-GB"/>
              </w:rPr>
              <w:t xml:space="preserve"> </w:t>
            </w:r>
            <w:r w:rsidR="00904E99" w:rsidRPr="009B39EC">
              <w:rPr>
                <w:rFonts w:ascii="Arial" w:hAnsi="Arial" w:cs="Arial"/>
                <w:sz w:val="20"/>
                <w:szCs w:val="20"/>
                <w:lang w:val="en-GB"/>
              </w:rPr>
              <w:t xml:space="preserve">“Violence against </w:t>
            </w:r>
            <w:r w:rsidR="00ED004A" w:rsidRPr="009B39EC">
              <w:rPr>
                <w:rFonts w:ascii="Arial" w:hAnsi="Arial" w:cs="Arial"/>
                <w:sz w:val="20"/>
                <w:szCs w:val="20"/>
                <w:lang w:val="en-GB"/>
              </w:rPr>
              <w:t>w</w:t>
            </w:r>
            <w:r w:rsidR="00904E99" w:rsidRPr="009B39EC">
              <w:rPr>
                <w:rFonts w:ascii="Arial" w:hAnsi="Arial" w:cs="Arial"/>
                <w:sz w:val="20"/>
                <w:szCs w:val="20"/>
                <w:lang w:val="en-GB"/>
              </w:rPr>
              <w:t xml:space="preserve">omen and </w:t>
            </w:r>
            <w:r w:rsidR="00846A69" w:rsidRPr="009B39EC">
              <w:rPr>
                <w:rFonts w:ascii="Arial" w:hAnsi="Arial" w:cs="Arial"/>
                <w:sz w:val="20"/>
                <w:szCs w:val="20"/>
                <w:lang w:val="en-GB"/>
              </w:rPr>
              <w:t>girls</w:t>
            </w:r>
            <w:r w:rsidR="00904E99" w:rsidRPr="009B39EC">
              <w:rPr>
                <w:rFonts w:ascii="Arial" w:hAnsi="Arial" w:cs="Arial"/>
                <w:sz w:val="20"/>
                <w:szCs w:val="20"/>
                <w:lang w:val="en-GB"/>
              </w:rPr>
              <w:t xml:space="preserve"> in Albania</w:t>
            </w:r>
            <w:r w:rsidR="006D55F3" w:rsidRPr="009B39EC">
              <w:rPr>
                <w:rFonts w:ascii="Arial" w:hAnsi="Arial" w:cs="Arial"/>
                <w:sz w:val="20"/>
                <w:szCs w:val="20"/>
                <w:lang w:val="en-GB"/>
              </w:rPr>
              <w:t xml:space="preserve">” </w:t>
            </w:r>
            <w:r w:rsidR="00904E99" w:rsidRPr="009B39EC">
              <w:rPr>
                <w:rFonts w:ascii="Arial" w:hAnsi="Arial" w:cs="Arial"/>
                <w:sz w:val="20"/>
                <w:szCs w:val="20"/>
                <w:lang w:val="en-GB"/>
              </w:rPr>
              <w:t xml:space="preserve">measures five forms of violence: intimate partner violence, violence in a love relationship, non-partner violence, sexual </w:t>
            </w:r>
            <w:proofErr w:type="gramStart"/>
            <w:r w:rsidR="00904E99" w:rsidRPr="009B39EC">
              <w:rPr>
                <w:rFonts w:ascii="Arial" w:hAnsi="Arial" w:cs="Arial"/>
                <w:sz w:val="20"/>
                <w:szCs w:val="20"/>
                <w:lang w:val="en-GB"/>
              </w:rPr>
              <w:t>harassment</w:t>
            </w:r>
            <w:proofErr w:type="gramEnd"/>
            <w:r w:rsidR="00904E99" w:rsidRPr="009B39EC">
              <w:rPr>
                <w:rFonts w:ascii="Arial" w:hAnsi="Arial" w:cs="Arial"/>
                <w:sz w:val="20"/>
                <w:szCs w:val="20"/>
                <w:lang w:val="en-GB"/>
              </w:rPr>
              <w:t xml:space="preserve"> </w:t>
            </w:r>
            <w:r w:rsidR="00694FCA" w:rsidRPr="009B39EC">
              <w:rPr>
                <w:rFonts w:ascii="Arial" w:hAnsi="Arial" w:cs="Arial"/>
                <w:sz w:val="20"/>
                <w:szCs w:val="20"/>
                <w:lang w:val="en-GB"/>
              </w:rPr>
              <w:t xml:space="preserve">and </w:t>
            </w:r>
            <w:r w:rsidR="00904E99" w:rsidRPr="009B39EC">
              <w:rPr>
                <w:rFonts w:ascii="Arial" w:hAnsi="Arial" w:cs="Arial"/>
                <w:sz w:val="20"/>
                <w:szCs w:val="20"/>
                <w:lang w:val="en-GB"/>
              </w:rPr>
              <w:t>stalking</w:t>
            </w:r>
            <w:r w:rsidR="006D55F3" w:rsidRPr="009B39EC">
              <w:rPr>
                <w:rFonts w:ascii="Arial" w:hAnsi="Arial" w:cs="Arial"/>
                <w:sz w:val="20"/>
                <w:szCs w:val="20"/>
                <w:lang w:val="en-GB"/>
              </w:rPr>
              <w:t xml:space="preserve">. </w:t>
            </w:r>
            <w:r w:rsidR="00904E99" w:rsidRPr="009B39EC">
              <w:rPr>
                <w:rFonts w:ascii="Arial" w:hAnsi="Arial" w:cs="Arial"/>
                <w:sz w:val="20"/>
                <w:szCs w:val="20"/>
                <w:lang w:val="en-GB"/>
              </w:rPr>
              <w:t xml:space="preserve">The types of abuse measured are psychological, physical, sexual, economic abuse and controlling behaviour. The 2018 Survey </w:t>
            </w:r>
            <w:r w:rsidR="002C2A04" w:rsidRPr="009B39EC">
              <w:rPr>
                <w:rFonts w:ascii="Arial" w:hAnsi="Arial" w:cs="Arial"/>
                <w:sz w:val="20"/>
                <w:szCs w:val="20"/>
                <w:lang w:val="en-GB"/>
              </w:rPr>
              <w:t xml:space="preserve">introduced </w:t>
            </w:r>
            <w:r w:rsidR="00ED004A" w:rsidRPr="009B39EC">
              <w:rPr>
                <w:rFonts w:ascii="Arial" w:hAnsi="Arial" w:cs="Arial"/>
                <w:sz w:val="20"/>
                <w:szCs w:val="20"/>
                <w:lang w:val="en-GB"/>
              </w:rPr>
              <w:t>two additional</w:t>
            </w:r>
            <w:r w:rsidR="002C2A04" w:rsidRPr="009B39EC">
              <w:rPr>
                <w:rFonts w:ascii="Arial" w:hAnsi="Arial" w:cs="Arial"/>
                <w:sz w:val="20"/>
                <w:szCs w:val="20"/>
                <w:lang w:val="en-GB"/>
              </w:rPr>
              <w:t xml:space="preserve"> forms of abuse compared to the previous survey (violence in a love relationship, sexual </w:t>
            </w:r>
            <w:proofErr w:type="gramStart"/>
            <w:r w:rsidR="002C2A04" w:rsidRPr="009B39EC">
              <w:rPr>
                <w:rFonts w:ascii="Arial" w:hAnsi="Arial" w:cs="Arial"/>
                <w:sz w:val="20"/>
                <w:szCs w:val="20"/>
                <w:lang w:val="en-GB"/>
              </w:rPr>
              <w:t>harassment</w:t>
            </w:r>
            <w:proofErr w:type="gramEnd"/>
            <w:r w:rsidR="002C2A04" w:rsidRPr="009B39EC">
              <w:rPr>
                <w:rFonts w:ascii="Arial" w:hAnsi="Arial" w:cs="Arial"/>
                <w:sz w:val="20"/>
                <w:szCs w:val="20"/>
                <w:lang w:val="en-GB"/>
              </w:rPr>
              <w:t xml:space="preserve"> and stalking</w:t>
            </w:r>
            <w:r w:rsidR="006D55F3" w:rsidRPr="009B39EC">
              <w:rPr>
                <w:rFonts w:ascii="Arial" w:hAnsi="Arial" w:cs="Arial"/>
                <w:sz w:val="20"/>
                <w:szCs w:val="20"/>
                <w:lang w:val="en-GB"/>
              </w:rPr>
              <w:t>)</w:t>
            </w:r>
            <w:r w:rsidR="002C2A04" w:rsidRPr="009B39EC">
              <w:rPr>
                <w:rFonts w:ascii="Arial" w:hAnsi="Arial" w:cs="Arial"/>
                <w:sz w:val="20"/>
                <w:szCs w:val="20"/>
                <w:lang w:val="en-GB"/>
              </w:rPr>
              <w:t xml:space="preserve"> and more types of abuse were measured</w:t>
            </w:r>
            <w:r w:rsidR="006D55F3" w:rsidRPr="009B39EC">
              <w:rPr>
                <w:rFonts w:ascii="Arial" w:hAnsi="Arial" w:cs="Arial"/>
                <w:sz w:val="20"/>
                <w:szCs w:val="20"/>
                <w:lang w:val="en-GB"/>
              </w:rPr>
              <w:t>.</w:t>
            </w:r>
            <w:r w:rsidR="00E75308" w:rsidRPr="009B39EC">
              <w:rPr>
                <w:rFonts w:ascii="Arial" w:hAnsi="Arial" w:cs="Arial"/>
                <w:sz w:val="20"/>
                <w:szCs w:val="20"/>
                <w:lang w:val="en-GB"/>
              </w:rPr>
              <w:t xml:space="preserve"> </w:t>
            </w:r>
          </w:p>
          <w:p w14:paraId="256CCAED" w14:textId="59B19C7F" w:rsidR="00E75308" w:rsidRPr="009B39EC" w:rsidRDefault="00E75308" w:rsidP="006D55F3">
            <w:pPr>
              <w:jc w:val="both"/>
              <w:rPr>
                <w:rFonts w:ascii="Arial" w:hAnsi="Arial" w:cs="Arial"/>
                <w:sz w:val="20"/>
                <w:szCs w:val="20"/>
                <w:lang w:val="en-GB"/>
              </w:rPr>
            </w:pPr>
          </w:p>
          <w:p w14:paraId="726514F6" w14:textId="0F37A82E" w:rsidR="00582F0A" w:rsidRPr="009B39EC" w:rsidRDefault="00E75308" w:rsidP="006D55F3">
            <w:pPr>
              <w:jc w:val="both"/>
              <w:rPr>
                <w:rFonts w:ascii="Arial" w:hAnsi="Arial" w:cs="Arial"/>
                <w:sz w:val="20"/>
                <w:szCs w:val="20"/>
                <w:lang w:val="en-GB"/>
              </w:rPr>
            </w:pPr>
            <w:r w:rsidRPr="009B39EC">
              <w:rPr>
                <w:rFonts w:ascii="Arial" w:hAnsi="Arial" w:cs="Arial"/>
                <w:sz w:val="20"/>
                <w:szCs w:val="20"/>
                <w:lang w:val="en-GB"/>
              </w:rPr>
              <w:t>INSTAT</w:t>
            </w:r>
            <w:r w:rsidR="002C2A04" w:rsidRPr="009B39EC">
              <w:rPr>
                <w:rFonts w:ascii="Arial" w:hAnsi="Arial" w:cs="Arial"/>
                <w:sz w:val="20"/>
                <w:szCs w:val="20"/>
                <w:lang w:val="en-GB"/>
              </w:rPr>
              <w:t xml:space="preserve"> obtains data on domestic violence cases (Article 130/a), </w:t>
            </w:r>
            <w:r w:rsidR="00A41A6F" w:rsidRPr="009B39EC">
              <w:rPr>
                <w:rFonts w:ascii="Arial" w:hAnsi="Arial" w:cs="Arial"/>
                <w:sz w:val="20"/>
                <w:szCs w:val="20"/>
                <w:lang w:val="en-GB"/>
              </w:rPr>
              <w:t xml:space="preserve">and on </w:t>
            </w:r>
            <w:r w:rsidR="00445CB5" w:rsidRPr="009B39EC">
              <w:rPr>
                <w:rFonts w:ascii="Arial" w:hAnsi="Arial" w:cs="Arial"/>
                <w:sz w:val="20"/>
                <w:szCs w:val="20"/>
                <w:lang w:val="en-GB"/>
              </w:rPr>
              <w:t>suspects</w:t>
            </w:r>
            <w:r w:rsidR="002C2A04" w:rsidRPr="009B39EC">
              <w:rPr>
                <w:rFonts w:ascii="Arial" w:hAnsi="Arial" w:cs="Arial"/>
                <w:sz w:val="20"/>
                <w:szCs w:val="20"/>
                <w:lang w:val="en-GB"/>
              </w:rPr>
              <w:t xml:space="preserve"> or defendant</w:t>
            </w:r>
            <w:r w:rsidR="00A41A6F" w:rsidRPr="009B39EC">
              <w:rPr>
                <w:rFonts w:ascii="Arial" w:hAnsi="Arial" w:cs="Arial"/>
                <w:sz w:val="20"/>
                <w:szCs w:val="20"/>
                <w:lang w:val="en-GB"/>
              </w:rPr>
              <w:t>s wh</w:t>
            </w:r>
            <w:r w:rsidR="00ED004A" w:rsidRPr="009B39EC">
              <w:rPr>
                <w:rFonts w:ascii="Arial" w:hAnsi="Arial" w:cs="Arial"/>
                <w:sz w:val="20"/>
                <w:szCs w:val="20"/>
                <w:lang w:val="en-GB"/>
              </w:rPr>
              <w:t>ich</w:t>
            </w:r>
            <w:r w:rsidR="00A41A6F" w:rsidRPr="009B39EC">
              <w:rPr>
                <w:rFonts w:ascii="Arial" w:hAnsi="Arial" w:cs="Arial"/>
                <w:sz w:val="20"/>
                <w:szCs w:val="20"/>
                <w:lang w:val="en-GB"/>
              </w:rPr>
              <w:t xml:space="preserve"> are reported to the police, </w:t>
            </w:r>
            <w:r w:rsidR="00ED004A" w:rsidRPr="009B39EC">
              <w:rPr>
                <w:rFonts w:ascii="Arial" w:hAnsi="Arial" w:cs="Arial"/>
                <w:sz w:val="20"/>
                <w:szCs w:val="20"/>
                <w:lang w:val="en-GB"/>
              </w:rPr>
              <w:t xml:space="preserve">and </w:t>
            </w:r>
            <w:r w:rsidR="002C2A04" w:rsidRPr="009B39EC">
              <w:rPr>
                <w:rFonts w:ascii="Arial" w:hAnsi="Arial" w:cs="Arial"/>
                <w:sz w:val="20"/>
                <w:szCs w:val="20"/>
                <w:lang w:val="en-GB"/>
              </w:rPr>
              <w:t xml:space="preserve">from </w:t>
            </w:r>
            <w:r w:rsidR="00A41A6F" w:rsidRPr="009B39EC">
              <w:rPr>
                <w:rFonts w:ascii="Arial" w:hAnsi="Arial" w:cs="Arial"/>
                <w:sz w:val="20"/>
                <w:szCs w:val="20"/>
                <w:lang w:val="en-GB"/>
              </w:rPr>
              <w:t xml:space="preserve">law enforcement agencies and the courts; </w:t>
            </w:r>
            <w:r w:rsidR="00ED004A" w:rsidRPr="009B39EC">
              <w:rPr>
                <w:rFonts w:ascii="Arial" w:hAnsi="Arial" w:cs="Arial"/>
                <w:sz w:val="20"/>
                <w:szCs w:val="20"/>
                <w:lang w:val="en-GB"/>
              </w:rPr>
              <w:t xml:space="preserve">it also collects </w:t>
            </w:r>
            <w:r w:rsidR="00A41A6F" w:rsidRPr="009B39EC">
              <w:rPr>
                <w:rFonts w:ascii="Arial" w:hAnsi="Arial" w:cs="Arial"/>
                <w:sz w:val="20"/>
                <w:szCs w:val="20"/>
                <w:lang w:val="en-GB"/>
              </w:rPr>
              <w:t xml:space="preserve">data on criminal cases and on </w:t>
            </w:r>
            <w:r w:rsidR="00ED004A" w:rsidRPr="009B39EC">
              <w:rPr>
                <w:rFonts w:ascii="Arial" w:hAnsi="Arial" w:cs="Arial"/>
                <w:sz w:val="20"/>
                <w:szCs w:val="20"/>
                <w:lang w:val="en-GB"/>
              </w:rPr>
              <w:t xml:space="preserve">domestic violence related </w:t>
            </w:r>
            <w:r w:rsidR="00A41A6F" w:rsidRPr="009B39EC">
              <w:rPr>
                <w:rFonts w:ascii="Arial" w:hAnsi="Arial" w:cs="Arial"/>
                <w:sz w:val="20"/>
                <w:szCs w:val="20"/>
                <w:lang w:val="en-GB"/>
              </w:rPr>
              <w:t>convictions from the courts</w:t>
            </w:r>
            <w:r w:rsidR="00582F0A" w:rsidRPr="009B39EC">
              <w:rPr>
                <w:rStyle w:val="FootnoteReference"/>
                <w:rFonts w:ascii="Arial" w:hAnsi="Arial" w:cs="Arial"/>
                <w:sz w:val="20"/>
                <w:szCs w:val="20"/>
                <w:lang w:val="en-GB"/>
              </w:rPr>
              <w:footnoteReference w:id="8"/>
            </w:r>
            <w:r w:rsidRPr="009B39EC">
              <w:rPr>
                <w:rFonts w:ascii="Arial" w:hAnsi="Arial" w:cs="Arial"/>
                <w:sz w:val="20"/>
                <w:szCs w:val="20"/>
                <w:lang w:val="en-GB"/>
              </w:rPr>
              <w:t>.</w:t>
            </w:r>
            <w:r w:rsidR="00582F0A" w:rsidRPr="009B39EC">
              <w:rPr>
                <w:rFonts w:ascii="Arial" w:hAnsi="Arial" w:cs="Arial"/>
                <w:sz w:val="20"/>
                <w:szCs w:val="20"/>
                <w:lang w:val="en-GB"/>
              </w:rPr>
              <w:t xml:space="preserve"> </w:t>
            </w:r>
            <w:r w:rsidR="00A41A6F" w:rsidRPr="009B39EC">
              <w:rPr>
                <w:rFonts w:ascii="Arial" w:hAnsi="Arial" w:cs="Arial"/>
                <w:sz w:val="20"/>
                <w:szCs w:val="20"/>
                <w:lang w:val="en-GB"/>
              </w:rPr>
              <w:t>An example of such data is given in Annex 5 of this report.</w:t>
            </w:r>
          </w:p>
          <w:p w14:paraId="40488E8C" w14:textId="77777777" w:rsidR="00582F0A" w:rsidRPr="009B39EC" w:rsidRDefault="00582F0A" w:rsidP="006D55F3">
            <w:pPr>
              <w:jc w:val="both"/>
              <w:rPr>
                <w:rFonts w:ascii="Arial" w:hAnsi="Arial" w:cs="Arial"/>
                <w:sz w:val="20"/>
                <w:szCs w:val="20"/>
                <w:lang w:val="en-GB"/>
              </w:rPr>
            </w:pPr>
          </w:p>
          <w:p w14:paraId="7B7E3C69" w14:textId="6FE70411" w:rsidR="00577A37" w:rsidRPr="009B39EC" w:rsidRDefault="00ED004A" w:rsidP="006D55F3">
            <w:pPr>
              <w:jc w:val="both"/>
              <w:rPr>
                <w:rFonts w:ascii="Arial" w:hAnsi="Arial" w:cs="Arial"/>
                <w:sz w:val="20"/>
                <w:szCs w:val="20"/>
                <w:lang w:val="en-GB"/>
              </w:rPr>
            </w:pPr>
            <w:r w:rsidRPr="009B39EC">
              <w:rPr>
                <w:rFonts w:ascii="Arial" w:hAnsi="Arial" w:cs="Arial"/>
                <w:sz w:val="20"/>
                <w:szCs w:val="20"/>
                <w:lang w:val="en-GB"/>
              </w:rPr>
              <w:t>For the first time ever, t</w:t>
            </w:r>
            <w:r w:rsidR="00A41A6F" w:rsidRPr="009B39EC">
              <w:rPr>
                <w:rFonts w:ascii="Arial" w:hAnsi="Arial" w:cs="Arial"/>
                <w:sz w:val="20"/>
                <w:szCs w:val="20"/>
                <w:lang w:val="en-GB"/>
              </w:rPr>
              <w:t>he 2019 Statistical Bulletin</w:t>
            </w:r>
            <w:r w:rsidR="00236CF3" w:rsidRPr="009B39EC">
              <w:rPr>
                <w:rFonts w:ascii="Arial" w:hAnsi="Arial" w:cs="Arial"/>
                <w:sz w:val="20"/>
                <w:szCs w:val="20"/>
                <w:lang w:val="en-GB"/>
              </w:rPr>
              <w:t xml:space="preserve"> of Ministry of Justice</w:t>
            </w:r>
            <w:r w:rsidR="00A41A6F" w:rsidRPr="009B39EC">
              <w:rPr>
                <w:rFonts w:ascii="Arial" w:hAnsi="Arial" w:cs="Arial"/>
                <w:sz w:val="20"/>
                <w:szCs w:val="20"/>
                <w:lang w:val="en-GB"/>
              </w:rPr>
              <w:t xml:space="preserve"> included a </w:t>
            </w:r>
            <w:r w:rsidR="00445CB5" w:rsidRPr="009B39EC">
              <w:rPr>
                <w:rFonts w:ascii="Arial" w:hAnsi="Arial" w:cs="Arial"/>
                <w:sz w:val="20"/>
                <w:szCs w:val="20"/>
                <w:lang w:val="en-GB"/>
              </w:rPr>
              <w:t>chapter</w:t>
            </w:r>
            <w:r w:rsidR="00A41A6F" w:rsidRPr="009B39EC">
              <w:rPr>
                <w:rFonts w:ascii="Arial" w:hAnsi="Arial" w:cs="Arial"/>
                <w:sz w:val="20"/>
                <w:szCs w:val="20"/>
                <w:lang w:val="en-GB"/>
              </w:rPr>
              <w:t xml:space="preserve"> dedicated to domestic violence, with information</w:t>
            </w:r>
            <w:r w:rsidRPr="009B39EC">
              <w:rPr>
                <w:rFonts w:ascii="Arial" w:hAnsi="Arial" w:cs="Arial"/>
                <w:sz w:val="20"/>
                <w:szCs w:val="20"/>
                <w:lang w:val="en-GB"/>
              </w:rPr>
              <w:t xml:space="preserve"> gathered </w:t>
            </w:r>
            <w:r w:rsidR="00A41A6F" w:rsidRPr="009B39EC">
              <w:rPr>
                <w:rFonts w:ascii="Arial" w:hAnsi="Arial" w:cs="Arial"/>
                <w:sz w:val="20"/>
                <w:szCs w:val="20"/>
                <w:lang w:val="en-GB"/>
              </w:rPr>
              <w:t>from all the courts in the Republic of Albania. This chapter contains new information</w:t>
            </w:r>
            <w:r w:rsidRPr="009B39EC">
              <w:rPr>
                <w:rFonts w:ascii="Arial" w:hAnsi="Arial" w:cs="Arial"/>
                <w:sz w:val="20"/>
                <w:szCs w:val="20"/>
                <w:lang w:val="en-GB"/>
              </w:rPr>
              <w:t>,</w:t>
            </w:r>
            <w:r w:rsidR="00A41A6F" w:rsidRPr="009B39EC">
              <w:rPr>
                <w:rFonts w:ascii="Arial" w:hAnsi="Arial" w:cs="Arial"/>
                <w:sz w:val="20"/>
                <w:szCs w:val="20"/>
                <w:lang w:val="en-GB"/>
              </w:rPr>
              <w:t xml:space="preserve"> such as: place of residence, age, gender, civil status, number of children, level of education, employment status, applications for protection orders, and relationship with the abuser</w:t>
            </w:r>
            <w:r w:rsidR="004B77DB" w:rsidRPr="009B39EC">
              <w:rPr>
                <w:rFonts w:ascii="Arial" w:hAnsi="Arial" w:cs="Arial"/>
                <w:sz w:val="20"/>
                <w:szCs w:val="20"/>
                <w:lang w:val="en-GB"/>
              </w:rPr>
              <w:t xml:space="preserve">. </w:t>
            </w:r>
            <w:r w:rsidR="00A41A6F" w:rsidRPr="009B39EC">
              <w:rPr>
                <w:rFonts w:ascii="Arial" w:hAnsi="Arial" w:cs="Arial"/>
                <w:sz w:val="20"/>
                <w:szCs w:val="20"/>
                <w:lang w:val="en-GB"/>
              </w:rPr>
              <w:t xml:space="preserve">The </w:t>
            </w:r>
            <w:r w:rsidR="00445CB5" w:rsidRPr="009B39EC">
              <w:rPr>
                <w:rFonts w:ascii="Arial" w:hAnsi="Arial" w:cs="Arial"/>
                <w:sz w:val="20"/>
                <w:szCs w:val="20"/>
                <w:lang w:val="en-GB"/>
              </w:rPr>
              <w:t>Ministry</w:t>
            </w:r>
            <w:r w:rsidR="00A41A6F" w:rsidRPr="009B39EC">
              <w:rPr>
                <w:rFonts w:ascii="Arial" w:hAnsi="Arial" w:cs="Arial"/>
                <w:sz w:val="20"/>
                <w:szCs w:val="20"/>
                <w:lang w:val="en-GB"/>
              </w:rPr>
              <w:t xml:space="preserve"> of Justice and the High Judicial Council drafted and adopted Joint Instruction No. </w:t>
            </w:r>
            <w:r w:rsidR="004B77DB" w:rsidRPr="009B39EC">
              <w:rPr>
                <w:rFonts w:ascii="Arial" w:hAnsi="Arial" w:cs="Arial"/>
                <w:sz w:val="20"/>
                <w:szCs w:val="20"/>
                <w:lang w:val="en-GB"/>
              </w:rPr>
              <w:t>9, dat</w:t>
            </w:r>
            <w:r w:rsidR="00A41A6F" w:rsidRPr="009B39EC">
              <w:rPr>
                <w:rFonts w:ascii="Arial" w:hAnsi="Arial" w:cs="Arial"/>
                <w:sz w:val="20"/>
                <w:szCs w:val="20"/>
                <w:lang w:val="en-GB"/>
              </w:rPr>
              <w:t>ed</w:t>
            </w:r>
            <w:r w:rsidR="004B77DB" w:rsidRPr="009B39EC">
              <w:rPr>
                <w:rFonts w:ascii="Arial" w:hAnsi="Arial" w:cs="Arial"/>
                <w:sz w:val="20"/>
                <w:szCs w:val="20"/>
                <w:lang w:val="en-GB"/>
              </w:rPr>
              <w:t xml:space="preserve"> 07</w:t>
            </w:r>
            <w:r w:rsidR="00A41A6F" w:rsidRPr="009B39EC">
              <w:rPr>
                <w:rFonts w:ascii="Arial" w:hAnsi="Arial" w:cs="Arial"/>
                <w:sz w:val="20"/>
                <w:szCs w:val="20"/>
                <w:lang w:val="en-GB"/>
              </w:rPr>
              <w:t xml:space="preserve"> June</w:t>
            </w:r>
            <w:r w:rsidR="004B77DB" w:rsidRPr="009B39EC">
              <w:rPr>
                <w:rFonts w:ascii="Arial" w:hAnsi="Arial" w:cs="Arial"/>
                <w:sz w:val="20"/>
                <w:szCs w:val="20"/>
                <w:lang w:val="en-GB"/>
              </w:rPr>
              <w:t>2020</w:t>
            </w:r>
            <w:r w:rsidRPr="009B39EC">
              <w:rPr>
                <w:rFonts w:ascii="Arial" w:hAnsi="Arial" w:cs="Arial"/>
                <w:sz w:val="20"/>
                <w:szCs w:val="20"/>
                <w:lang w:val="en-GB"/>
              </w:rPr>
              <w:t>,</w:t>
            </w:r>
            <w:r w:rsidR="004B77DB" w:rsidRPr="009B39EC">
              <w:rPr>
                <w:rFonts w:ascii="Arial" w:hAnsi="Arial" w:cs="Arial"/>
                <w:sz w:val="20"/>
                <w:szCs w:val="20"/>
                <w:lang w:val="en-GB"/>
              </w:rPr>
              <w:t xml:space="preserve"> “</w:t>
            </w:r>
            <w:r w:rsidR="00051A96" w:rsidRPr="009B39EC">
              <w:rPr>
                <w:rFonts w:ascii="Arial" w:hAnsi="Arial" w:cs="Arial"/>
                <w:sz w:val="20"/>
                <w:szCs w:val="20"/>
                <w:lang w:val="en-GB"/>
              </w:rPr>
              <w:t>On determining the rules for the establishment of a dedicated database on domestic violence cases in courts and a unified system of data registration</w:t>
            </w:r>
            <w:r w:rsidR="000E6574" w:rsidRPr="009B39EC">
              <w:rPr>
                <w:rFonts w:ascii="Arial" w:hAnsi="Arial" w:cs="Arial"/>
                <w:sz w:val="20"/>
                <w:szCs w:val="20"/>
                <w:lang w:val="en-GB"/>
              </w:rPr>
              <w:t xml:space="preserve">”. </w:t>
            </w:r>
            <w:r w:rsidR="00051A96" w:rsidRPr="009B39EC">
              <w:rPr>
                <w:rFonts w:ascii="Arial" w:hAnsi="Arial" w:cs="Arial"/>
                <w:sz w:val="20"/>
                <w:szCs w:val="20"/>
                <w:lang w:val="en-GB"/>
              </w:rPr>
              <w:t>Pursuant to this Instruction, work is under way for the collection of relevant data</w:t>
            </w:r>
            <w:r w:rsidR="000E6574" w:rsidRPr="009B39EC">
              <w:rPr>
                <w:rFonts w:ascii="Arial" w:hAnsi="Arial" w:cs="Arial"/>
                <w:sz w:val="20"/>
                <w:szCs w:val="20"/>
                <w:lang w:val="en-GB"/>
              </w:rPr>
              <w:t xml:space="preserve">. </w:t>
            </w:r>
          </w:p>
          <w:p w14:paraId="23716060" w14:textId="77777777" w:rsidR="00FF5AF8" w:rsidRPr="009B39EC" w:rsidRDefault="00FF5AF8" w:rsidP="006D55F3">
            <w:pPr>
              <w:jc w:val="both"/>
              <w:rPr>
                <w:rFonts w:ascii="Arial" w:hAnsi="Arial" w:cs="Arial"/>
                <w:sz w:val="20"/>
                <w:szCs w:val="20"/>
                <w:lang w:val="en-GB"/>
              </w:rPr>
            </w:pPr>
          </w:p>
          <w:p w14:paraId="5E01144D" w14:textId="53C16A14" w:rsidR="00FF5AF8" w:rsidRPr="009B39EC" w:rsidRDefault="00692BCE" w:rsidP="006D55F3">
            <w:pPr>
              <w:jc w:val="both"/>
              <w:rPr>
                <w:rFonts w:ascii="Arial" w:hAnsi="Arial" w:cs="Arial"/>
                <w:sz w:val="20"/>
                <w:szCs w:val="20"/>
                <w:lang w:val="en-GB"/>
              </w:rPr>
            </w:pPr>
            <w:r w:rsidRPr="009B39EC">
              <w:rPr>
                <w:rFonts w:ascii="Arial" w:hAnsi="Arial" w:cs="Arial"/>
                <w:sz w:val="20"/>
                <w:szCs w:val="20"/>
                <w:lang w:val="en-GB"/>
              </w:rPr>
              <w:t>The Ombudsperson’s Office and INSTAT have signed a Memorandum of Understanding with a view to establishing cooperation and strengthening data collection, (disaggregation), dissemination and analysis</w:t>
            </w:r>
            <w:r w:rsidR="00D05968" w:rsidRPr="009B39EC">
              <w:rPr>
                <w:rFonts w:ascii="Arial" w:hAnsi="Arial" w:cs="Arial"/>
                <w:sz w:val="20"/>
                <w:szCs w:val="20"/>
                <w:lang w:val="en-GB"/>
              </w:rPr>
              <w:t>,</w:t>
            </w:r>
            <w:r w:rsidRPr="009B39EC">
              <w:rPr>
                <w:rFonts w:ascii="Arial" w:hAnsi="Arial" w:cs="Arial"/>
                <w:sz w:val="20"/>
                <w:szCs w:val="20"/>
                <w:lang w:val="en-GB"/>
              </w:rPr>
              <w:t xml:space="preserve"> </w:t>
            </w:r>
            <w:proofErr w:type="gramStart"/>
            <w:r w:rsidRPr="009B39EC">
              <w:rPr>
                <w:rFonts w:ascii="Arial" w:hAnsi="Arial" w:cs="Arial"/>
                <w:sz w:val="20"/>
                <w:szCs w:val="20"/>
                <w:lang w:val="en-GB"/>
              </w:rPr>
              <w:t>in light of</w:t>
            </w:r>
            <w:proofErr w:type="gramEnd"/>
            <w:r w:rsidRPr="009B39EC">
              <w:rPr>
                <w:rFonts w:ascii="Arial" w:hAnsi="Arial" w:cs="Arial"/>
                <w:sz w:val="20"/>
                <w:szCs w:val="20"/>
                <w:lang w:val="en-GB"/>
              </w:rPr>
              <w:t xml:space="preserve"> human rights </w:t>
            </w:r>
            <w:r w:rsidR="00D05968" w:rsidRPr="009B39EC">
              <w:rPr>
                <w:rFonts w:ascii="Arial" w:hAnsi="Arial" w:cs="Arial"/>
                <w:sz w:val="20"/>
                <w:szCs w:val="20"/>
                <w:lang w:val="en-GB"/>
              </w:rPr>
              <w:t>considerations and the 2030 Sustainable Development Agenda</w:t>
            </w:r>
            <w:r w:rsidR="00FF5AF8" w:rsidRPr="009B39EC">
              <w:rPr>
                <w:rFonts w:ascii="Arial" w:hAnsi="Arial" w:cs="Arial"/>
                <w:sz w:val="20"/>
                <w:szCs w:val="20"/>
                <w:lang w:val="en-GB"/>
              </w:rPr>
              <w:t xml:space="preserve">. </w:t>
            </w:r>
            <w:r w:rsidRPr="009B39EC">
              <w:rPr>
                <w:rFonts w:ascii="Arial" w:hAnsi="Arial" w:cs="Arial"/>
                <w:sz w:val="20"/>
                <w:szCs w:val="20"/>
                <w:lang w:val="en-GB"/>
              </w:rPr>
              <w:t xml:space="preserve">In this context, the publication </w:t>
            </w:r>
            <w:r w:rsidR="00FF5AF8" w:rsidRPr="009B39EC">
              <w:rPr>
                <w:rFonts w:ascii="Arial" w:hAnsi="Arial" w:cs="Arial"/>
                <w:sz w:val="20"/>
                <w:szCs w:val="20"/>
                <w:lang w:val="en-GB"/>
              </w:rPr>
              <w:t>“</w:t>
            </w:r>
            <w:r w:rsidRPr="009B39EC">
              <w:rPr>
                <w:rFonts w:ascii="Arial" w:hAnsi="Arial" w:cs="Arial"/>
                <w:sz w:val="20"/>
                <w:szCs w:val="20"/>
                <w:lang w:val="en-GB"/>
              </w:rPr>
              <w:t xml:space="preserve">Men and </w:t>
            </w:r>
            <w:r w:rsidR="00ED004A" w:rsidRPr="009B39EC">
              <w:rPr>
                <w:rFonts w:ascii="Arial" w:hAnsi="Arial" w:cs="Arial"/>
                <w:sz w:val="20"/>
                <w:szCs w:val="20"/>
                <w:lang w:val="en-GB"/>
              </w:rPr>
              <w:t>w</w:t>
            </w:r>
            <w:r w:rsidRPr="009B39EC">
              <w:rPr>
                <w:rFonts w:ascii="Arial" w:hAnsi="Arial" w:cs="Arial"/>
                <w:sz w:val="20"/>
                <w:szCs w:val="20"/>
                <w:lang w:val="en-GB"/>
              </w:rPr>
              <w:t>omen in Albania</w:t>
            </w:r>
            <w:r w:rsidR="00FF5AF8" w:rsidRPr="009B39EC">
              <w:rPr>
                <w:rFonts w:ascii="Arial" w:hAnsi="Arial" w:cs="Arial"/>
                <w:sz w:val="20"/>
                <w:szCs w:val="20"/>
                <w:lang w:val="en-GB"/>
              </w:rPr>
              <w:t xml:space="preserve"> 2020</w:t>
            </w:r>
            <w:r w:rsidR="00FF5AF8" w:rsidRPr="009B39EC">
              <w:rPr>
                <w:rStyle w:val="FootnoteReference"/>
                <w:rFonts w:ascii="Arial" w:hAnsi="Arial" w:cs="Arial"/>
                <w:sz w:val="20"/>
                <w:szCs w:val="20"/>
                <w:lang w:val="en-GB"/>
              </w:rPr>
              <w:footnoteReference w:id="9"/>
            </w:r>
            <w:r w:rsidR="00FF5AF8" w:rsidRPr="009B39EC">
              <w:rPr>
                <w:rFonts w:ascii="Arial" w:hAnsi="Arial" w:cs="Arial"/>
                <w:sz w:val="20"/>
                <w:szCs w:val="20"/>
                <w:lang w:val="en-GB"/>
              </w:rPr>
              <w:t xml:space="preserve">”, </w:t>
            </w:r>
            <w:r w:rsidR="00D05968" w:rsidRPr="009B39EC">
              <w:rPr>
                <w:rFonts w:ascii="Arial" w:hAnsi="Arial" w:cs="Arial"/>
                <w:sz w:val="20"/>
                <w:szCs w:val="20"/>
                <w:lang w:val="en-GB"/>
              </w:rPr>
              <w:t xml:space="preserve">which </w:t>
            </w:r>
            <w:r w:rsidR="00ED004A" w:rsidRPr="009B39EC">
              <w:rPr>
                <w:rFonts w:ascii="Arial" w:hAnsi="Arial" w:cs="Arial"/>
                <w:sz w:val="20"/>
                <w:szCs w:val="20"/>
                <w:lang w:val="en-GB"/>
              </w:rPr>
              <w:t xml:space="preserve">is published </w:t>
            </w:r>
            <w:r w:rsidR="00445CB5" w:rsidRPr="009B39EC">
              <w:rPr>
                <w:rFonts w:ascii="Arial" w:hAnsi="Arial" w:cs="Arial"/>
                <w:sz w:val="20"/>
                <w:szCs w:val="20"/>
                <w:lang w:val="en-GB"/>
              </w:rPr>
              <w:t>annually</w:t>
            </w:r>
            <w:r w:rsidRPr="009B39EC">
              <w:rPr>
                <w:rFonts w:ascii="Arial" w:hAnsi="Arial" w:cs="Arial"/>
                <w:sz w:val="20"/>
                <w:szCs w:val="20"/>
                <w:lang w:val="en-GB"/>
              </w:rPr>
              <w:t xml:space="preserve"> and presents data from various areas </w:t>
            </w:r>
            <w:r w:rsidR="00D05968" w:rsidRPr="009B39EC">
              <w:rPr>
                <w:rFonts w:ascii="Arial" w:hAnsi="Arial" w:cs="Arial"/>
                <w:sz w:val="20"/>
                <w:szCs w:val="20"/>
                <w:lang w:val="en-GB"/>
              </w:rPr>
              <w:t xml:space="preserve">of life </w:t>
            </w:r>
            <w:r w:rsidRPr="009B39EC">
              <w:rPr>
                <w:rFonts w:ascii="Arial" w:hAnsi="Arial" w:cs="Arial"/>
                <w:sz w:val="20"/>
                <w:szCs w:val="20"/>
                <w:lang w:val="en-GB"/>
              </w:rPr>
              <w:t>disaggregated by gender</w:t>
            </w:r>
            <w:r w:rsidR="00ED004A" w:rsidRPr="009B39EC">
              <w:rPr>
                <w:rFonts w:ascii="Arial" w:hAnsi="Arial" w:cs="Arial"/>
                <w:sz w:val="20"/>
                <w:szCs w:val="20"/>
                <w:lang w:val="en-GB"/>
              </w:rPr>
              <w:t xml:space="preserve"> with the aim of capturing a snapshot of the main </w:t>
            </w:r>
            <w:r w:rsidR="00D05968" w:rsidRPr="009B39EC">
              <w:rPr>
                <w:rFonts w:ascii="Arial" w:hAnsi="Arial" w:cs="Arial"/>
                <w:sz w:val="20"/>
                <w:szCs w:val="20"/>
                <w:lang w:val="en-GB"/>
              </w:rPr>
              <w:t xml:space="preserve">issues encountered in society with a view to achieving gender equality, included a chapter </w:t>
            </w:r>
            <w:r w:rsidR="00656C8B" w:rsidRPr="009B39EC">
              <w:rPr>
                <w:rFonts w:ascii="Arial" w:hAnsi="Arial" w:cs="Arial"/>
                <w:sz w:val="20"/>
                <w:szCs w:val="20"/>
                <w:lang w:val="en-GB"/>
              </w:rPr>
              <w:t>dedicated to</w:t>
            </w:r>
            <w:r w:rsidR="00D05968" w:rsidRPr="009B39EC">
              <w:rPr>
                <w:rFonts w:ascii="Arial" w:hAnsi="Arial" w:cs="Arial"/>
                <w:sz w:val="20"/>
                <w:szCs w:val="20"/>
                <w:lang w:val="en-GB"/>
              </w:rPr>
              <w:t xml:space="preserve"> human rights indicators. The human rights statistics </w:t>
            </w:r>
            <w:r w:rsidR="00656C8B" w:rsidRPr="009B39EC">
              <w:rPr>
                <w:rFonts w:ascii="Arial" w:hAnsi="Arial" w:cs="Arial"/>
                <w:sz w:val="20"/>
                <w:szCs w:val="20"/>
                <w:lang w:val="en-GB"/>
              </w:rPr>
              <w:t xml:space="preserve">consist of </w:t>
            </w:r>
            <w:r w:rsidR="00D05968" w:rsidRPr="009B39EC">
              <w:rPr>
                <w:rFonts w:ascii="Arial" w:hAnsi="Arial" w:cs="Arial"/>
                <w:sz w:val="20"/>
                <w:szCs w:val="20"/>
                <w:lang w:val="en-GB"/>
              </w:rPr>
              <w:t xml:space="preserve">data on human rights violations disaggregated by gender and type of violation </w:t>
            </w:r>
            <w:r w:rsidR="00656C8B" w:rsidRPr="009B39EC">
              <w:rPr>
                <w:rFonts w:ascii="Arial" w:hAnsi="Arial" w:cs="Arial"/>
                <w:sz w:val="20"/>
                <w:szCs w:val="20"/>
                <w:lang w:val="en-GB"/>
              </w:rPr>
              <w:t>that were</w:t>
            </w:r>
            <w:r w:rsidR="00D05968" w:rsidRPr="009B39EC">
              <w:rPr>
                <w:rFonts w:ascii="Arial" w:hAnsi="Arial" w:cs="Arial"/>
                <w:sz w:val="20"/>
                <w:szCs w:val="20"/>
                <w:lang w:val="en-GB"/>
              </w:rPr>
              <w:t xml:space="preserve"> dealt with by the Office of the </w:t>
            </w:r>
            <w:r w:rsidR="00445CB5" w:rsidRPr="009B39EC">
              <w:rPr>
                <w:rFonts w:ascii="Arial" w:hAnsi="Arial" w:cs="Arial"/>
                <w:sz w:val="20"/>
                <w:szCs w:val="20"/>
                <w:lang w:val="en-GB"/>
              </w:rPr>
              <w:t>Ombudsperson</w:t>
            </w:r>
            <w:r w:rsidR="00FF5AF8" w:rsidRPr="009B39EC">
              <w:rPr>
                <w:rFonts w:ascii="Arial" w:hAnsi="Arial" w:cs="Arial"/>
                <w:sz w:val="20"/>
                <w:szCs w:val="20"/>
                <w:lang w:val="en-GB"/>
              </w:rPr>
              <w:t>.</w:t>
            </w:r>
          </w:p>
          <w:p w14:paraId="19E91622" w14:textId="72772D79" w:rsidR="00DC441F" w:rsidRPr="009B39EC" w:rsidRDefault="00DC441F" w:rsidP="006D55F3">
            <w:pPr>
              <w:jc w:val="both"/>
              <w:rPr>
                <w:rFonts w:ascii="Arial" w:hAnsi="Arial" w:cs="Arial"/>
                <w:sz w:val="20"/>
                <w:szCs w:val="20"/>
                <w:lang w:val="en-GB"/>
              </w:rPr>
            </w:pPr>
          </w:p>
          <w:p w14:paraId="5982A955" w14:textId="5F1C8F4E" w:rsidR="00DC441F" w:rsidRPr="009B39EC" w:rsidRDefault="00846A69" w:rsidP="006D55F3">
            <w:pPr>
              <w:jc w:val="both"/>
              <w:rPr>
                <w:rFonts w:ascii="Arial" w:hAnsi="Arial" w:cs="Arial"/>
                <w:sz w:val="20"/>
                <w:szCs w:val="20"/>
                <w:lang w:val="en-GB"/>
              </w:rPr>
            </w:pPr>
            <w:r w:rsidRPr="009B39EC">
              <w:rPr>
                <w:rFonts w:ascii="Arial" w:hAnsi="Arial" w:cs="Arial"/>
                <w:sz w:val="20"/>
                <w:szCs w:val="20"/>
                <w:lang w:val="en-GB"/>
              </w:rPr>
              <w:t xml:space="preserve">The REVALB system, a specifically designed system for this purpose, has an important role to play in the collection of data on the cases identified and managed through a multi-sectoral approach by Coordinated Referral Mechanisms at the local level. </w:t>
            </w:r>
            <w:r w:rsidR="00E0512A" w:rsidRPr="009B39EC">
              <w:rPr>
                <w:rFonts w:ascii="Arial" w:hAnsi="Arial" w:cs="Arial"/>
                <w:sz w:val="20"/>
                <w:szCs w:val="20"/>
                <w:lang w:val="en-GB"/>
              </w:rPr>
              <w:t xml:space="preserve">During the reporting period, </w:t>
            </w:r>
            <w:proofErr w:type="gramStart"/>
            <w:r w:rsidR="00E0512A" w:rsidRPr="009B39EC">
              <w:rPr>
                <w:rFonts w:ascii="Arial" w:hAnsi="Arial" w:cs="Arial"/>
                <w:sz w:val="20"/>
                <w:szCs w:val="20"/>
                <w:lang w:val="en-GB"/>
              </w:rPr>
              <w:t>a number of</w:t>
            </w:r>
            <w:proofErr w:type="gramEnd"/>
            <w:r w:rsidR="00E0512A" w:rsidRPr="009B39EC">
              <w:rPr>
                <w:rFonts w:ascii="Arial" w:hAnsi="Arial" w:cs="Arial"/>
                <w:sz w:val="20"/>
                <w:szCs w:val="20"/>
                <w:lang w:val="en-GB"/>
              </w:rPr>
              <w:t xml:space="preserve"> improvements were </w:t>
            </w:r>
            <w:r w:rsidR="00656C8B" w:rsidRPr="009B39EC">
              <w:rPr>
                <w:rFonts w:ascii="Arial" w:hAnsi="Arial" w:cs="Arial"/>
                <w:sz w:val="20"/>
                <w:szCs w:val="20"/>
                <w:lang w:val="en-GB"/>
              </w:rPr>
              <w:t>introduced in the</w:t>
            </w:r>
            <w:r w:rsidR="00E0512A" w:rsidRPr="009B39EC">
              <w:rPr>
                <w:rFonts w:ascii="Arial" w:hAnsi="Arial" w:cs="Arial"/>
                <w:sz w:val="20"/>
                <w:szCs w:val="20"/>
                <w:lang w:val="en-GB"/>
              </w:rPr>
              <w:t xml:space="preserve"> system and work was done in parallel for the training of local coordinators in order to continue with the regular data entering and updating. The system enables the collection of data on the number of cases</w:t>
            </w:r>
            <w:r w:rsidR="00656C8B" w:rsidRPr="009B39EC">
              <w:rPr>
                <w:rFonts w:ascii="Arial" w:hAnsi="Arial" w:cs="Arial"/>
                <w:sz w:val="20"/>
                <w:szCs w:val="20"/>
                <w:lang w:val="en-GB"/>
              </w:rPr>
              <w:t xml:space="preserve"> managed</w:t>
            </w:r>
            <w:r w:rsidR="00E0512A" w:rsidRPr="009B39EC">
              <w:rPr>
                <w:rFonts w:ascii="Arial" w:hAnsi="Arial" w:cs="Arial"/>
                <w:sz w:val="20"/>
                <w:szCs w:val="20"/>
                <w:lang w:val="en-GB"/>
              </w:rPr>
              <w:t xml:space="preserve">, as well as </w:t>
            </w:r>
            <w:r w:rsidR="00656C8B" w:rsidRPr="009B39EC">
              <w:rPr>
                <w:rFonts w:ascii="Arial" w:hAnsi="Arial" w:cs="Arial"/>
                <w:sz w:val="20"/>
                <w:szCs w:val="20"/>
                <w:lang w:val="en-GB"/>
              </w:rPr>
              <w:t xml:space="preserve">the </w:t>
            </w:r>
            <w:r w:rsidR="00445CB5" w:rsidRPr="009B39EC">
              <w:rPr>
                <w:rFonts w:ascii="Arial" w:hAnsi="Arial" w:cs="Arial"/>
                <w:sz w:val="20"/>
                <w:szCs w:val="20"/>
                <w:lang w:val="en-GB"/>
              </w:rPr>
              <w:t>performance</w:t>
            </w:r>
            <w:r w:rsidR="00E0512A" w:rsidRPr="009B39EC">
              <w:rPr>
                <w:rFonts w:ascii="Arial" w:hAnsi="Arial" w:cs="Arial"/>
                <w:sz w:val="20"/>
                <w:szCs w:val="20"/>
                <w:lang w:val="en-GB"/>
              </w:rPr>
              <w:t xml:space="preserve"> of various institution</w:t>
            </w:r>
            <w:r w:rsidR="00656C8B" w:rsidRPr="009B39EC">
              <w:rPr>
                <w:rFonts w:ascii="Arial" w:hAnsi="Arial" w:cs="Arial"/>
                <w:sz w:val="20"/>
                <w:szCs w:val="20"/>
                <w:lang w:val="en-GB"/>
              </w:rPr>
              <w:t>s</w:t>
            </w:r>
            <w:r w:rsidR="00E0512A" w:rsidRPr="009B39EC">
              <w:rPr>
                <w:rFonts w:ascii="Arial" w:hAnsi="Arial" w:cs="Arial"/>
                <w:sz w:val="20"/>
                <w:szCs w:val="20"/>
                <w:lang w:val="en-GB"/>
              </w:rPr>
              <w:t xml:space="preserve">, protection orders issued by courts and their monitoring, etc. A section on the monitoring of protection orders and violations thereof has </w:t>
            </w:r>
            <w:r w:rsidR="00445CB5" w:rsidRPr="009B39EC">
              <w:rPr>
                <w:rFonts w:ascii="Arial" w:hAnsi="Arial" w:cs="Arial"/>
                <w:sz w:val="20"/>
                <w:szCs w:val="20"/>
                <w:lang w:val="en-GB"/>
              </w:rPr>
              <w:t>been</w:t>
            </w:r>
            <w:r w:rsidR="00E0512A" w:rsidRPr="009B39EC">
              <w:rPr>
                <w:rFonts w:ascii="Arial" w:hAnsi="Arial" w:cs="Arial"/>
                <w:sz w:val="20"/>
                <w:szCs w:val="20"/>
                <w:lang w:val="en-GB"/>
              </w:rPr>
              <w:t xml:space="preserve"> added to the system, in accordance with the respective recommendation of the Committee of the Parties</w:t>
            </w:r>
            <w:r w:rsidR="00D83178" w:rsidRPr="009B39EC">
              <w:rPr>
                <w:rFonts w:ascii="Arial" w:hAnsi="Arial" w:cs="Arial"/>
                <w:sz w:val="20"/>
                <w:szCs w:val="20"/>
                <w:lang w:val="en-GB"/>
              </w:rPr>
              <w:t xml:space="preserve">. </w:t>
            </w:r>
            <w:r w:rsidR="00E0512A" w:rsidRPr="009B39EC">
              <w:rPr>
                <w:rFonts w:ascii="Arial" w:hAnsi="Arial" w:cs="Arial"/>
                <w:sz w:val="20"/>
                <w:szCs w:val="20"/>
                <w:lang w:val="en-GB"/>
              </w:rPr>
              <w:t>Examples of how data are identified through the REVALB system are provided in Annex 6 of this report</w:t>
            </w:r>
            <w:r w:rsidR="00FD2289" w:rsidRPr="009B39EC">
              <w:rPr>
                <w:rFonts w:ascii="Arial" w:hAnsi="Arial" w:cs="Arial"/>
                <w:sz w:val="20"/>
                <w:szCs w:val="20"/>
                <w:lang w:val="en-GB"/>
              </w:rPr>
              <w:t>.</w:t>
            </w:r>
          </w:p>
        </w:tc>
      </w:tr>
      <w:tr w:rsidR="00CA765E" w:rsidRPr="009B39EC" w14:paraId="7A58E85D" w14:textId="77777777" w:rsidTr="004860C4">
        <w:tc>
          <w:tcPr>
            <w:tcW w:w="216" w:type="pct"/>
          </w:tcPr>
          <w:p w14:paraId="15A34D0D"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lastRenderedPageBreak/>
              <w:t>18.2</w:t>
            </w:r>
          </w:p>
        </w:tc>
        <w:tc>
          <w:tcPr>
            <w:tcW w:w="4784" w:type="pct"/>
            <w:gridSpan w:val="3"/>
          </w:tcPr>
          <w:p w14:paraId="58843E47" w14:textId="6AF4B8B6" w:rsidR="0093507B" w:rsidRPr="009B39EC" w:rsidRDefault="00047815" w:rsidP="0093507B">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93507B" w:rsidRPr="009B39EC">
              <w:rPr>
                <w:rFonts w:ascii="Arial" w:hAnsi="Arial" w:cs="Arial"/>
                <w:sz w:val="20"/>
                <w:szCs w:val="20"/>
                <w:lang w:val="en-GB"/>
              </w:rPr>
              <w:t>:</w:t>
            </w:r>
          </w:p>
          <w:p w14:paraId="1FA79056" w14:textId="77777777" w:rsidR="00CA765E" w:rsidRPr="009B39EC" w:rsidRDefault="00CA765E" w:rsidP="00CA765E">
            <w:pPr>
              <w:jc w:val="both"/>
              <w:rPr>
                <w:rFonts w:ascii="Arial" w:hAnsi="Arial" w:cs="Arial"/>
                <w:sz w:val="20"/>
                <w:szCs w:val="20"/>
                <w:lang w:val="en-GB"/>
              </w:rPr>
            </w:pPr>
          </w:p>
        </w:tc>
      </w:tr>
      <w:tr w:rsidR="00CA765E" w:rsidRPr="009B39EC" w14:paraId="2CF26D4B" w14:textId="77777777" w:rsidTr="00047815">
        <w:tc>
          <w:tcPr>
            <w:tcW w:w="216" w:type="pct"/>
            <w:vMerge w:val="restart"/>
          </w:tcPr>
          <w:p w14:paraId="3FD72FAC"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lastRenderedPageBreak/>
              <w:t>19</w:t>
            </w:r>
          </w:p>
        </w:tc>
        <w:tc>
          <w:tcPr>
            <w:tcW w:w="3497" w:type="pct"/>
          </w:tcPr>
          <w:p w14:paraId="3D4CA4F0" w14:textId="2582B301" w:rsidR="00CA765E" w:rsidRPr="009B39EC" w:rsidRDefault="00047815" w:rsidP="00CA765E">
            <w:pPr>
              <w:pStyle w:val="NoSpacing"/>
              <w:jc w:val="both"/>
              <w:rPr>
                <w:rFonts w:ascii="Arial" w:hAnsi="Arial" w:cs="Arial"/>
                <w:sz w:val="20"/>
                <w:szCs w:val="20"/>
                <w:lang w:val="en-GB"/>
              </w:rPr>
            </w:pPr>
            <w:r w:rsidRPr="009B39EC">
              <w:rPr>
                <w:rFonts w:ascii="Arial" w:hAnsi="Arial" w:cs="Arial"/>
                <w:sz w:val="20"/>
                <w:szCs w:val="20"/>
                <w:lang w:val="en-GB"/>
              </w:rPr>
              <w:t xml:space="preserve">Does statistical data collection by law-enforcement agencies and the judiciary enable cases of violence against women to be tracked </w:t>
            </w:r>
            <w:proofErr w:type="gramStart"/>
            <w:r w:rsidRPr="009B39EC">
              <w:rPr>
                <w:rFonts w:ascii="Arial" w:hAnsi="Arial" w:cs="Arial"/>
                <w:sz w:val="20"/>
                <w:szCs w:val="20"/>
                <w:lang w:val="en-GB"/>
              </w:rPr>
              <w:t>in order to</w:t>
            </w:r>
            <w:proofErr w:type="gramEnd"/>
            <w:r w:rsidRPr="009B39EC">
              <w:rPr>
                <w:rFonts w:ascii="Arial" w:hAnsi="Arial" w:cs="Arial"/>
                <w:sz w:val="20"/>
                <w:szCs w:val="20"/>
                <w:lang w:val="en-GB"/>
              </w:rPr>
              <w:t xml:space="preserve"> indicate</w:t>
            </w:r>
            <w:r w:rsidR="00E770C6" w:rsidRPr="009B39EC">
              <w:rPr>
                <w:rFonts w:ascii="Arial" w:hAnsi="Arial" w:cs="Arial"/>
                <w:sz w:val="20"/>
                <w:szCs w:val="20"/>
                <w:lang w:val="en-GB"/>
              </w:rPr>
              <w:t>:</w:t>
            </w:r>
          </w:p>
        </w:tc>
        <w:tc>
          <w:tcPr>
            <w:tcW w:w="800" w:type="pct"/>
          </w:tcPr>
          <w:p w14:paraId="406061A8" w14:textId="77777777" w:rsidR="00CA765E" w:rsidRPr="009B39EC" w:rsidRDefault="00CA765E" w:rsidP="00CA765E">
            <w:pPr>
              <w:jc w:val="both"/>
              <w:rPr>
                <w:rFonts w:ascii="Arial" w:hAnsi="Arial" w:cs="Arial"/>
                <w:sz w:val="20"/>
                <w:szCs w:val="20"/>
                <w:lang w:val="en-GB"/>
              </w:rPr>
            </w:pPr>
          </w:p>
        </w:tc>
        <w:tc>
          <w:tcPr>
            <w:tcW w:w="487" w:type="pct"/>
          </w:tcPr>
          <w:p w14:paraId="4C8F3509"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 xml:space="preserve"> </w:t>
            </w:r>
          </w:p>
        </w:tc>
      </w:tr>
      <w:tr w:rsidR="00047815" w:rsidRPr="009B39EC" w14:paraId="2E510E5F" w14:textId="77777777" w:rsidTr="00047815">
        <w:tc>
          <w:tcPr>
            <w:tcW w:w="216" w:type="pct"/>
            <w:vMerge/>
          </w:tcPr>
          <w:p w14:paraId="6B57939C" w14:textId="77777777" w:rsidR="00047815" w:rsidRPr="009B39EC" w:rsidRDefault="00047815" w:rsidP="00047815">
            <w:pPr>
              <w:jc w:val="both"/>
              <w:rPr>
                <w:rFonts w:ascii="Arial" w:hAnsi="Arial" w:cs="Arial"/>
                <w:sz w:val="20"/>
                <w:szCs w:val="20"/>
                <w:lang w:val="en-GB"/>
              </w:rPr>
            </w:pPr>
          </w:p>
        </w:tc>
        <w:tc>
          <w:tcPr>
            <w:tcW w:w="3497" w:type="pct"/>
          </w:tcPr>
          <w:p w14:paraId="19C6BECF" w14:textId="69D98E64" w:rsidR="00047815" w:rsidRPr="009B39EC" w:rsidRDefault="00047815" w:rsidP="00047815">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Conviction rates</w:t>
            </w:r>
          </w:p>
        </w:tc>
        <w:tc>
          <w:tcPr>
            <w:tcW w:w="800" w:type="pct"/>
          </w:tcPr>
          <w:p w14:paraId="7892DDD8" w14:textId="17E6E1B1" w:rsidR="00047815" w:rsidRPr="009B39EC" w:rsidRDefault="00047815" w:rsidP="00047815">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794291074"/>
                <w14:checkbox>
                  <w14:checked w14:val="1"/>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tcPr>
          <w:p w14:paraId="35558EB9" w14:textId="537BDD7C" w:rsidR="00047815" w:rsidRPr="009B39EC" w:rsidRDefault="00047815" w:rsidP="00047815">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073041564"/>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047815" w:rsidRPr="009B39EC" w14:paraId="0ADD2451" w14:textId="77777777" w:rsidTr="00047815">
        <w:tc>
          <w:tcPr>
            <w:tcW w:w="216" w:type="pct"/>
            <w:vMerge/>
          </w:tcPr>
          <w:p w14:paraId="76A13111" w14:textId="77777777" w:rsidR="00047815" w:rsidRPr="009B39EC" w:rsidRDefault="00047815" w:rsidP="00047815">
            <w:pPr>
              <w:jc w:val="both"/>
              <w:rPr>
                <w:rFonts w:ascii="Arial" w:hAnsi="Arial" w:cs="Arial"/>
                <w:sz w:val="20"/>
                <w:szCs w:val="20"/>
                <w:lang w:val="en-GB"/>
              </w:rPr>
            </w:pPr>
          </w:p>
        </w:tc>
        <w:tc>
          <w:tcPr>
            <w:tcW w:w="3497" w:type="pct"/>
          </w:tcPr>
          <w:p w14:paraId="20E46239" w14:textId="426C55DA" w:rsidR="00047815" w:rsidRPr="009B39EC" w:rsidRDefault="00047815" w:rsidP="00047815">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Types of sentences</w:t>
            </w:r>
          </w:p>
        </w:tc>
        <w:tc>
          <w:tcPr>
            <w:tcW w:w="800" w:type="pct"/>
          </w:tcPr>
          <w:p w14:paraId="7498E0B9" w14:textId="65D8F8B5" w:rsidR="00047815" w:rsidRPr="009B39EC" w:rsidRDefault="00047815" w:rsidP="00047815">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1601629387"/>
                <w14:checkbox>
                  <w14:checked w14:val="1"/>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tcPr>
          <w:p w14:paraId="27F20601" w14:textId="0387D7EC" w:rsidR="00047815" w:rsidRPr="009B39EC" w:rsidRDefault="00047815" w:rsidP="00047815">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93641933"/>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047815" w:rsidRPr="009B39EC" w14:paraId="20AB6B7F" w14:textId="77777777" w:rsidTr="00047815">
        <w:tc>
          <w:tcPr>
            <w:tcW w:w="216" w:type="pct"/>
            <w:vMerge/>
          </w:tcPr>
          <w:p w14:paraId="60C6E3A2" w14:textId="77777777" w:rsidR="00047815" w:rsidRPr="009B39EC" w:rsidRDefault="00047815" w:rsidP="00047815">
            <w:pPr>
              <w:jc w:val="both"/>
              <w:rPr>
                <w:rFonts w:ascii="Arial" w:hAnsi="Arial" w:cs="Arial"/>
                <w:sz w:val="20"/>
                <w:szCs w:val="20"/>
                <w:lang w:val="en-GB"/>
              </w:rPr>
            </w:pPr>
          </w:p>
        </w:tc>
        <w:tc>
          <w:tcPr>
            <w:tcW w:w="3497" w:type="pct"/>
          </w:tcPr>
          <w:p w14:paraId="49179E22" w14:textId="49FCCF3E" w:rsidR="00047815" w:rsidRPr="009B39EC" w:rsidRDefault="00047815" w:rsidP="00047815">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Attrition rates</w:t>
            </w:r>
          </w:p>
        </w:tc>
        <w:tc>
          <w:tcPr>
            <w:tcW w:w="800" w:type="pct"/>
          </w:tcPr>
          <w:p w14:paraId="2A1A67DA" w14:textId="46B4CD07" w:rsidR="00047815" w:rsidRPr="009B39EC" w:rsidRDefault="00047815" w:rsidP="00047815">
            <w:pPr>
              <w:jc w:val="both"/>
              <w:rPr>
                <w:rFonts w:ascii="Arial" w:hAnsi="Arial" w:cs="Arial"/>
                <w:sz w:val="20"/>
                <w:szCs w:val="20"/>
                <w:lang w:val="en-GB"/>
              </w:rPr>
            </w:pPr>
            <w:r w:rsidRPr="009B39EC">
              <w:rPr>
                <w:rFonts w:ascii="Arial" w:hAnsi="Arial" w:cs="Arial"/>
                <w:sz w:val="20"/>
                <w:szCs w:val="20"/>
                <w:lang w:val="en-GB"/>
              </w:rPr>
              <w:t>Yes</w:t>
            </w:r>
            <w:r w:rsidRPr="009B39EC">
              <w:rPr>
                <w:rFonts w:ascii="Arial" w:hAnsi="Arial" w:cs="Arial"/>
                <w:b/>
                <w:bCs/>
                <w:sz w:val="20"/>
                <w:szCs w:val="20"/>
                <w:lang w:val="en-GB"/>
              </w:rPr>
              <w:t xml:space="preserve"> </w:t>
            </w:r>
            <w:sdt>
              <w:sdtPr>
                <w:rPr>
                  <w:rFonts w:ascii="Arial" w:hAnsi="Arial" w:cs="Arial"/>
                  <w:sz w:val="20"/>
                  <w:szCs w:val="20"/>
                  <w:lang w:val="en-GB"/>
                </w:rPr>
                <w:id w:val="-1939287773"/>
                <w14:checkbox>
                  <w14:checked w14:val="0"/>
                  <w14:checkedState w14:val="2612" w14:font="MS Gothic"/>
                  <w14:uncheckedState w14:val="2610" w14:font="MS Gothic"/>
                </w14:checkbox>
              </w:sdtPr>
              <w:sdtEndPr/>
              <w:sdtContent>
                <w:r w:rsidR="00236CF3" w:rsidRPr="009B39EC">
                  <w:rPr>
                    <w:rFonts w:ascii="Segoe UI Symbol" w:eastAsia="MS Gothic" w:hAnsi="Segoe UI Symbol" w:cs="Segoe UI Symbol"/>
                    <w:sz w:val="20"/>
                    <w:szCs w:val="20"/>
                    <w:lang w:val="en-GB"/>
                  </w:rPr>
                  <w:t>☐</w:t>
                </w:r>
              </w:sdtContent>
            </w:sdt>
          </w:p>
        </w:tc>
        <w:tc>
          <w:tcPr>
            <w:tcW w:w="487" w:type="pct"/>
          </w:tcPr>
          <w:p w14:paraId="520EE671" w14:textId="33D13F28" w:rsidR="00047815" w:rsidRPr="009B39EC" w:rsidRDefault="00047815" w:rsidP="00047815">
            <w:pPr>
              <w:jc w:val="both"/>
              <w:rPr>
                <w:rFonts w:ascii="Arial" w:hAnsi="Arial" w:cs="Arial"/>
                <w:sz w:val="20"/>
                <w:szCs w:val="20"/>
                <w:lang w:val="en-GB"/>
              </w:rPr>
            </w:pPr>
            <w:r w:rsidRPr="009B39EC">
              <w:rPr>
                <w:rFonts w:ascii="Arial" w:hAnsi="Arial" w:cs="Arial"/>
                <w:b/>
                <w:bCs/>
                <w:sz w:val="20"/>
                <w:szCs w:val="20"/>
                <w:lang w:val="en-GB"/>
              </w:rPr>
              <w:t>No</w:t>
            </w:r>
            <w:r w:rsidRPr="009B39EC">
              <w:rPr>
                <w:rFonts w:ascii="Arial" w:hAnsi="Arial" w:cs="Arial"/>
                <w:sz w:val="20"/>
                <w:szCs w:val="20"/>
                <w:lang w:val="en-GB"/>
              </w:rPr>
              <w:t xml:space="preserve"> </w:t>
            </w:r>
            <w:sdt>
              <w:sdtPr>
                <w:rPr>
                  <w:rFonts w:ascii="Arial" w:hAnsi="Arial" w:cs="Arial"/>
                  <w:sz w:val="20"/>
                  <w:szCs w:val="20"/>
                  <w:lang w:val="en-GB"/>
                </w:rPr>
                <w:id w:val="-1708790951"/>
                <w14:checkbox>
                  <w14:checked w14:val="1"/>
                  <w14:checkedState w14:val="2612" w14:font="MS Gothic"/>
                  <w14:uncheckedState w14:val="2610" w14:font="MS Gothic"/>
                </w14:checkbox>
              </w:sdtPr>
              <w:sdtEndPr/>
              <w:sdtContent>
                <w:r w:rsidR="00236CF3" w:rsidRPr="009B39EC">
                  <w:rPr>
                    <w:rFonts w:ascii="Segoe UI Symbol" w:eastAsia="MS Gothic" w:hAnsi="Segoe UI Symbol" w:cs="Segoe UI Symbol"/>
                    <w:sz w:val="20"/>
                    <w:szCs w:val="20"/>
                    <w:lang w:val="en-GB"/>
                  </w:rPr>
                  <w:t>☒</w:t>
                </w:r>
              </w:sdtContent>
            </w:sdt>
          </w:p>
        </w:tc>
      </w:tr>
      <w:tr w:rsidR="00047815" w:rsidRPr="009B39EC" w14:paraId="1EE62EFD" w14:textId="77777777" w:rsidTr="00047815">
        <w:tc>
          <w:tcPr>
            <w:tcW w:w="216" w:type="pct"/>
            <w:vMerge/>
          </w:tcPr>
          <w:p w14:paraId="6B47B6EF" w14:textId="77777777" w:rsidR="00047815" w:rsidRPr="009B39EC" w:rsidRDefault="00047815" w:rsidP="00047815">
            <w:pPr>
              <w:jc w:val="both"/>
              <w:rPr>
                <w:rFonts w:ascii="Arial" w:hAnsi="Arial" w:cs="Arial"/>
                <w:sz w:val="20"/>
                <w:szCs w:val="20"/>
                <w:lang w:val="en-GB"/>
              </w:rPr>
            </w:pPr>
          </w:p>
        </w:tc>
        <w:tc>
          <w:tcPr>
            <w:tcW w:w="3497" w:type="pct"/>
          </w:tcPr>
          <w:p w14:paraId="3941D9D3" w14:textId="686AC0FB" w:rsidR="00047815" w:rsidRPr="009B39EC" w:rsidRDefault="00047815" w:rsidP="00047815">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Time-barred proceedings</w:t>
            </w:r>
          </w:p>
        </w:tc>
        <w:tc>
          <w:tcPr>
            <w:tcW w:w="800" w:type="pct"/>
          </w:tcPr>
          <w:p w14:paraId="2E4E35D1" w14:textId="2425EE64" w:rsidR="00047815" w:rsidRPr="009B39EC" w:rsidRDefault="00047815" w:rsidP="00047815">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370962265"/>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tcPr>
          <w:p w14:paraId="09735551" w14:textId="5244FDD8" w:rsidR="00047815" w:rsidRPr="009B39EC" w:rsidRDefault="00047815" w:rsidP="00047815">
            <w:pPr>
              <w:jc w:val="both"/>
              <w:rPr>
                <w:rFonts w:ascii="Arial" w:hAnsi="Arial" w:cs="Arial"/>
                <w:sz w:val="20"/>
                <w:szCs w:val="20"/>
                <w:lang w:val="en-GB"/>
              </w:rPr>
            </w:pPr>
            <w:r w:rsidRPr="009B39EC">
              <w:rPr>
                <w:rFonts w:ascii="Arial" w:hAnsi="Arial" w:cs="Arial"/>
                <w:b/>
                <w:bCs/>
                <w:sz w:val="20"/>
                <w:szCs w:val="20"/>
                <w:lang w:val="en-GB"/>
              </w:rPr>
              <w:t>No</w:t>
            </w:r>
            <w:r w:rsidRPr="009B39EC">
              <w:rPr>
                <w:rFonts w:ascii="Arial" w:hAnsi="Arial" w:cs="Arial"/>
                <w:sz w:val="20"/>
                <w:szCs w:val="20"/>
                <w:lang w:val="en-GB"/>
              </w:rPr>
              <w:t xml:space="preserve"> </w:t>
            </w:r>
            <w:sdt>
              <w:sdtPr>
                <w:rPr>
                  <w:rFonts w:ascii="Arial" w:hAnsi="Arial" w:cs="Arial"/>
                  <w:sz w:val="20"/>
                  <w:szCs w:val="20"/>
                  <w:lang w:val="en-GB"/>
                </w:rPr>
                <w:id w:val="141324197"/>
                <w14:checkbox>
                  <w14:checked w14:val="1"/>
                  <w14:checkedState w14:val="2612" w14:font="MS Gothic"/>
                  <w14:uncheckedState w14:val="2610" w14:font="MS Gothic"/>
                </w14:checkbox>
              </w:sdtPr>
              <w:sdtEndPr/>
              <w:sdtContent>
                <w:r w:rsidR="00236CF3" w:rsidRPr="009B39EC">
                  <w:rPr>
                    <w:rFonts w:ascii="Segoe UI Symbol" w:eastAsia="MS Gothic" w:hAnsi="Segoe UI Symbol" w:cs="Segoe UI Symbol"/>
                    <w:sz w:val="20"/>
                    <w:szCs w:val="20"/>
                    <w:lang w:val="en-GB"/>
                  </w:rPr>
                  <w:t>☒</w:t>
                </w:r>
              </w:sdtContent>
            </w:sdt>
          </w:p>
          <w:p w14:paraId="289CB55B" w14:textId="6FD73ACF" w:rsidR="00047815" w:rsidRPr="009B39EC" w:rsidRDefault="00047815" w:rsidP="00047815">
            <w:pPr>
              <w:jc w:val="both"/>
              <w:rPr>
                <w:rFonts w:ascii="Arial" w:hAnsi="Arial" w:cs="Arial"/>
                <w:sz w:val="20"/>
                <w:szCs w:val="20"/>
                <w:lang w:val="en-GB"/>
              </w:rPr>
            </w:pPr>
            <w:r w:rsidRPr="009B39EC">
              <w:rPr>
                <w:rFonts w:ascii="Arial" w:hAnsi="Arial" w:cs="Arial"/>
                <w:sz w:val="20"/>
                <w:szCs w:val="20"/>
                <w:lang w:val="en-GB"/>
              </w:rPr>
              <w:t xml:space="preserve">N/A  </w:t>
            </w:r>
            <w:sdt>
              <w:sdtPr>
                <w:rPr>
                  <w:rFonts w:ascii="Arial" w:hAnsi="Arial" w:cs="Arial"/>
                  <w:sz w:val="20"/>
                  <w:szCs w:val="20"/>
                  <w:lang w:val="en-GB"/>
                </w:rPr>
                <w:id w:val="1809116235"/>
                <w14:checkbox>
                  <w14:checked w14:val="0"/>
                  <w14:checkedState w14:val="2612" w14:font="MS Gothic"/>
                  <w14:uncheckedState w14:val="2610" w14:font="MS Gothic"/>
                </w14:checkbox>
              </w:sdtPr>
              <w:sdtEndPr/>
              <w:sdtContent>
                <w:r w:rsidR="00236CF3" w:rsidRPr="009B39EC">
                  <w:rPr>
                    <w:rFonts w:ascii="Segoe UI Symbol" w:eastAsia="MS Gothic" w:hAnsi="Segoe UI Symbol" w:cs="Segoe UI Symbol"/>
                    <w:sz w:val="20"/>
                    <w:szCs w:val="20"/>
                    <w:lang w:val="en-GB"/>
                  </w:rPr>
                  <w:t>☐</w:t>
                </w:r>
              </w:sdtContent>
            </w:sdt>
            <w:r w:rsidRPr="009B39EC">
              <w:rPr>
                <w:rFonts w:ascii="Arial" w:hAnsi="Arial" w:cs="Arial"/>
                <w:sz w:val="20"/>
                <w:szCs w:val="20"/>
                <w:lang w:val="en-GB"/>
              </w:rPr>
              <w:t xml:space="preserve">            </w:t>
            </w:r>
          </w:p>
        </w:tc>
      </w:tr>
      <w:tr w:rsidR="00CA765E" w:rsidRPr="009B39EC" w14:paraId="15F2B6C9" w14:textId="77777777" w:rsidTr="004860C4">
        <w:tc>
          <w:tcPr>
            <w:tcW w:w="216" w:type="pct"/>
            <w:shd w:val="clear" w:color="auto" w:fill="FBE4D5" w:themeFill="accent2" w:themeFillTint="33"/>
          </w:tcPr>
          <w:p w14:paraId="7FA56BF5"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20</w:t>
            </w:r>
          </w:p>
        </w:tc>
        <w:tc>
          <w:tcPr>
            <w:tcW w:w="4784" w:type="pct"/>
            <w:gridSpan w:val="3"/>
            <w:shd w:val="clear" w:color="auto" w:fill="FBE4D5" w:themeFill="accent2" w:themeFillTint="33"/>
          </w:tcPr>
          <w:p w14:paraId="082BA439" w14:textId="5B8D0CFD" w:rsidR="00CA765E" w:rsidRPr="009B39EC" w:rsidRDefault="00047815" w:rsidP="00CA765E">
            <w:pPr>
              <w:pStyle w:val="NoSpacing"/>
              <w:jc w:val="both"/>
              <w:rPr>
                <w:rFonts w:ascii="Arial" w:hAnsi="Arial" w:cs="Arial"/>
                <w:sz w:val="20"/>
                <w:szCs w:val="20"/>
                <w:lang w:val="en-GB"/>
              </w:rPr>
            </w:pPr>
            <w:r w:rsidRPr="009B39EC">
              <w:rPr>
                <w:rFonts w:ascii="Arial" w:hAnsi="Arial" w:cs="Arial"/>
                <w:sz w:val="20"/>
                <w:szCs w:val="20"/>
                <w:lang w:val="en-GB"/>
              </w:rPr>
              <w:t>As regards population-based surveys, please indicate any survey conducted since the publication of GREVIO’s baseline evaluation report, while specifying the forms of violence covered</w:t>
            </w:r>
            <w:r w:rsidR="00F03CCA" w:rsidRPr="009B39EC">
              <w:rPr>
                <w:rFonts w:ascii="Arial" w:hAnsi="Arial" w:cs="Arial"/>
                <w:sz w:val="20"/>
                <w:szCs w:val="20"/>
                <w:lang w:val="en-GB"/>
              </w:rPr>
              <w:t>:</w:t>
            </w:r>
          </w:p>
          <w:p w14:paraId="0D47C8E5" w14:textId="77777777" w:rsidR="00CA765E" w:rsidRPr="009B39EC" w:rsidRDefault="00CA765E" w:rsidP="00CA765E">
            <w:pPr>
              <w:jc w:val="both"/>
              <w:rPr>
                <w:rFonts w:ascii="Arial" w:hAnsi="Arial" w:cs="Arial"/>
                <w:sz w:val="20"/>
                <w:szCs w:val="20"/>
                <w:lang w:val="en-GB"/>
              </w:rPr>
            </w:pPr>
            <w:r w:rsidRPr="009B39EC">
              <w:rPr>
                <w:rFonts w:ascii="Arial" w:hAnsi="Arial" w:cs="Arial"/>
                <w:sz w:val="20"/>
                <w:szCs w:val="20"/>
                <w:lang w:val="en-GB"/>
              </w:rPr>
              <w:t xml:space="preserve"> </w:t>
            </w:r>
          </w:p>
        </w:tc>
      </w:tr>
      <w:tr w:rsidR="00F03CCA" w:rsidRPr="009B39EC" w14:paraId="209DA61F" w14:textId="77777777" w:rsidTr="004860C4">
        <w:tc>
          <w:tcPr>
            <w:tcW w:w="216" w:type="pct"/>
          </w:tcPr>
          <w:p w14:paraId="1B5AFC56"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21</w:t>
            </w:r>
          </w:p>
        </w:tc>
        <w:tc>
          <w:tcPr>
            <w:tcW w:w="4784" w:type="pct"/>
            <w:gridSpan w:val="3"/>
          </w:tcPr>
          <w:p w14:paraId="6CFF7E50" w14:textId="6268D324" w:rsidR="00F03CCA" w:rsidRPr="009B39EC" w:rsidRDefault="00047815" w:rsidP="00F03CCA">
            <w:pPr>
              <w:jc w:val="both"/>
              <w:rPr>
                <w:rFonts w:ascii="Arial" w:hAnsi="Arial" w:cs="Arial"/>
                <w:sz w:val="20"/>
                <w:szCs w:val="20"/>
                <w:lang w:val="en-GB"/>
              </w:rPr>
            </w:pPr>
            <w:r w:rsidRPr="009B39EC">
              <w:rPr>
                <w:rFonts w:ascii="Arial" w:hAnsi="Arial" w:cs="Arial"/>
                <w:sz w:val="20"/>
                <w:szCs w:val="20"/>
                <w:lang w:val="en-GB"/>
              </w:rPr>
              <w:t>In case your authorities have taken further measures contributing to the implementation of recommendations in relation to Article 11, which were not covered by the questions above, please report on these measures [word limit: 1000 words]</w:t>
            </w:r>
            <w:r w:rsidR="00F03CCA" w:rsidRPr="009B39EC">
              <w:rPr>
                <w:rFonts w:ascii="Arial" w:hAnsi="Arial" w:cs="Arial"/>
                <w:sz w:val="20"/>
                <w:szCs w:val="20"/>
                <w:lang w:val="en-GB"/>
              </w:rPr>
              <w:t>:</w:t>
            </w:r>
          </w:p>
        </w:tc>
      </w:tr>
      <w:tr w:rsidR="00F03CCA" w:rsidRPr="009B39EC" w14:paraId="19627315" w14:textId="77777777" w:rsidTr="00CD0E91">
        <w:tc>
          <w:tcPr>
            <w:tcW w:w="5000" w:type="pct"/>
            <w:gridSpan w:val="4"/>
          </w:tcPr>
          <w:p w14:paraId="5AFAABD5" w14:textId="77777777" w:rsidR="00F03CCA" w:rsidRPr="009B39EC" w:rsidRDefault="00F03CCA" w:rsidP="00F03CCA">
            <w:pPr>
              <w:pStyle w:val="NoSpacing"/>
              <w:jc w:val="both"/>
              <w:rPr>
                <w:rFonts w:ascii="Arial" w:hAnsi="Arial" w:cs="Arial"/>
                <w:sz w:val="20"/>
                <w:szCs w:val="20"/>
                <w:lang w:val="en-GB"/>
              </w:rPr>
            </w:pPr>
          </w:p>
          <w:p w14:paraId="347220D6" w14:textId="304EC019" w:rsidR="00F03CCA" w:rsidRPr="009B39EC" w:rsidRDefault="00047815" w:rsidP="001D4A16">
            <w:pPr>
              <w:pStyle w:val="ListParagraph"/>
              <w:numPr>
                <w:ilvl w:val="0"/>
                <w:numId w:val="3"/>
              </w:numPr>
              <w:jc w:val="both"/>
              <w:rPr>
                <w:rFonts w:ascii="Arial" w:hAnsi="Arial" w:cs="Arial"/>
                <w:sz w:val="20"/>
                <w:szCs w:val="20"/>
                <w:lang w:val="en-GB"/>
              </w:rPr>
            </w:pPr>
            <w:r w:rsidRPr="009B39EC">
              <w:rPr>
                <w:rFonts w:ascii="Arial" w:hAnsi="Arial" w:cs="Arial"/>
                <w:b/>
                <w:bCs/>
                <w:sz w:val="20"/>
                <w:szCs w:val="20"/>
                <w:lang w:val="en-GB"/>
              </w:rPr>
              <w:t>Custody, visitation rights and safety</w:t>
            </w:r>
            <w:r w:rsidR="001D4A16" w:rsidRPr="009B39EC">
              <w:rPr>
                <w:rFonts w:ascii="Arial" w:hAnsi="Arial" w:cs="Arial"/>
                <w:b/>
                <w:bCs/>
                <w:sz w:val="20"/>
                <w:szCs w:val="20"/>
                <w:lang w:val="en-GB"/>
              </w:rPr>
              <w:t xml:space="preserve"> (</w:t>
            </w:r>
            <w:r w:rsidRPr="009B39EC">
              <w:rPr>
                <w:rFonts w:ascii="Arial" w:hAnsi="Arial" w:cs="Arial"/>
                <w:b/>
                <w:bCs/>
                <w:sz w:val="20"/>
                <w:szCs w:val="20"/>
                <w:lang w:val="en-GB"/>
              </w:rPr>
              <w:t>Article</w:t>
            </w:r>
            <w:r w:rsidR="001D4A16" w:rsidRPr="009B39EC">
              <w:rPr>
                <w:rFonts w:ascii="Arial" w:hAnsi="Arial" w:cs="Arial"/>
                <w:b/>
                <w:bCs/>
                <w:sz w:val="20"/>
                <w:szCs w:val="20"/>
                <w:lang w:val="en-GB"/>
              </w:rPr>
              <w:t xml:space="preserve"> 31)</w:t>
            </w:r>
          </w:p>
        </w:tc>
      </w:tr>
      <w:tr w:rsidR="00F03CCA" w:rsidRPr="009B39EC" w14:paraId="475BE7B2" w14:textId="77777777" w:rsidTr="00047815">
        <w:tc>
          <w:tcPr>
            <w:tcW w:w="216" w:type="pct"/>
          </w:tcPr>
          <w:p w14:paraId="70E5AF16"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22</w:t>
            </w:r>
          </w:p>
        </w:tc>
        <w:tc>
          <w:tcPr>
            <w:tcW w:w="3497" w:type="pct"/>
          </w:tcPr>
          <w:p w14:paraId="237AEB5C" w14:textId="3585E37E" w:rsidR="00F03CCA" w:rsidRPr="009B39EC" w:rsidRDefault="00047815" w:rsidP="00F03CCA">
            <w:pPr>
              <w:pStyle w:val="NoSpacing"/>
              <w:jc w:val="both"/>
              <w:rPr>
                <w:rFonts w:ascii="Arial" w:hAnsi="Arial" w:cs="Arial"/>
                <w:sz w:val="20"/>
                <w:szCs w:val="20"/>
                <w:lang w:val="en-GB"/>
              </w:rPr>
            </w:pPr>
            <w:r w:rsidRPr="009B39EC">
              <w:rPr>
                <w:rFonts w:ascii="Arial" w:hAnsi="Arial" w:cs="Arial"/>
                <w:sz w:val="20"/>
                <w:szCs w:val="20"/>
                <w:lang w:val="en-GB"/>
              </w:rPr>
              <w:t xml:space="preserve">Have your authorities taken measures contributing to ensure that incidents of violence covered by the scope of the Istanbul Convention are </w:t>
            </w:r>
            <w:proofErr w:type="gramStart"/>
            <w:r w:rsidRPr="009B39EC">
              <w:rPr>
                <w:rFonts w:ascii="Arial" w:hAnsi="Arial" w:cs="Arial"/>
                <w:sz w:val="20"/>
                <w:szCs w:val="20"/>
                <w:lang w:val="en-GB"/>
              </w:rPr>
              <w:t>taken into account</w:t>
            </w:r>
            <w:proofErr w:type="gramEnd"/>
            <w:r w:rsidRPr="009B39EC">
              <w:rPr>
                <w:rFonts w:ascii="Arial" w:hAnsi="Arial" w:cs="Arial"/>
                <w:sz w:val="20"/>
                <w:szCs w:val="20"/>
                <w:lang w:val="en-GB"/>
              </w:rPr>
              <w:t xml:space="preserve"> in the determination of custody and visitation rights of children, notably by judicial authorities</w:t>
            </w:r>
            <w:r w:rsidR="001D4A16" w:rsidRPr="009B39EC">
              <w:rPr>
                <w:rFonts w:ascii="Arial" w:hAnsi="Arial" w:cs="Arial"/>
                <w:sz w:val="20"/>
                <w:szCs w:val="20"/>
                <w:lang w:val="en-GB"/>
              </w:rPr>
              <w:t>?</w:t>
            </w:r>
          </w:p>
        </w:tc>
        <w:tc>
          <w:tcPr>
            <w:tcW w:w="800" w:type="pct"/>
          </w:tcPr>
          <w:p w14:paraId="3DA3DC6C" w14:textId="09104F34" w:rsidR="00F03CCA" w:rsidRPr="009B39EC" w:rsidRDefault="00A65624" w:rsidP="00F03CCA">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1464229081"/>
                <w14:checkbox>
                  <w14:checked w14:val="1"/>
                  <w14:checkedState w14:val="2612" w14:font="MS Gothic"/>
                  <w14:uncheckedState w14:val="2610" w14:font="MS Gothic"/>
                </w14:checkbox>
              </w:sdtPr>
              <w:sdtEndPr/>
              <w:sdtContent>
                <w:r w:rsidR="00A50D58" w:rsidRPr="009B39EC">
                  <w:rPr>
                    <w:rFonts w:ascii="Segoe UI Symbol" w:eastAsia="MS Gothic" w:hAnsi="Segoe UI Symbol" w:cs="Segoe UI Symbol"/>
                    <w:sz w:val="20"/>
                    <w:szCs w:val="20"/>
                    <w:lang w:val="en-GB"/>
                  </w:rPr>
                  <w:t>☒</w:t>
                </w:r>
              </w:sdtContent>
            </w:sdt>
          </w:p>
        </w:tc>
        <w:tc>
          <w:tcPr>
            <w:tcW w:w="487" w:type="pct"/>
          </w:tcPr>
          <w:p w14:paraId="524BF752" w14:textId="188B1F0A" w:rsidR="00F03CCA" w:rsidRPr="009B39EC" w:rsidRDefault="00A65624" w:rsidP="00F03CCA">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932939358"/>
                <w14:checkbox>
                  <w14:checked w14:val="0"/>
                  <w14:checkedState w14:val="2612" w14:font="MS Gothic"/>
                  <w14:uncheckedState w14:val="2610" w14:font="MS Gothic"/>
                </w14:checkbox>
              </w:sdtPr>
              <w:sdtEndPr/>
              <w:sdtContent>
                <w:r w:rsidR="00F03CCA" w:rsidRPr="009B39EC">
                  <w:rPr>
                    <w:rFonts w:ascii="Segoe UI Symbol" w:eastAsia="MS Gothic" w:hAnsi="Segoe UI Symbol" w:cs="Segoe UI Symbol"/>
                    <w:sz w:val="20"/>
                    <w:szCs w:val="20"/>
                    <w:lang w:val="en-GB"/>
                  </w:rPr>
                  <w:t>☐</w:t>
                </w:r>
              </w:sdtContent>
            </w:sdt>
          </w:p>
        </w:tc>
      </w:tr>
      <w:tr w:rsidR="00F03CCA" w:rsidRPr="009B39EC" w14:paraId="378DA2CA" w14:textId="77777777" w:rsidTr="004860C4">
        <w:tc>
          <w:tcPr>
            <w:tcW w:w="216" w:type="pct"/>
          </w:tcPr>
          <w:p w14:paraId="2BD46883"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22.1</w:t>
            </w:r>
          </w:p>
        </w:tc>
        <w:tc>
          <w:tcPr>
            <w:tcW w:w="4784" w:type="pct"/>
            <w:gridSpan w:val="3"/>
          </w:tcPr>
          <w:p w14:paraId="02282072" w14:textId="5ECB60C8" w:rsidR="00A50D58" w:rsidRPr="009B39EC" w:rsidRDefault="00047815" w:rsidP="001D4A16">
            <w:pPr>
              <w:pStyle w:val="NoSpacing"/>
              <w:jc w:val="both"/>
              <w:rPr>
                <w:rFonts w:ascii="Arial" w:hAnsi="Arial" w:cs="Arial"/>
                <w:sz w:val="20"/>
                <w:szCs w:val="20"/>
                <w:lang w:val="en-GB"/>
              </w:rPr>
            </w:pPr>
            <w:r w:rsidRPr="009B39EC">
              <w:rPr>
                <w:rFonts w:ascii="Arial" w:hAnsi="Arial" w:cs="Arial"/>
                <w:sz w:val="20"/>
                <w:szCs w:val="20"/>
                <w:lang w:val="en-GB"/>
              </w:rPr>
              <w:t xml:space="preserve">If yes, please specify how this has been done (by legislative amendments or other means) </w:t>
            </w:r>
          </w:p>
          <w:p w14:paraId="3B4CC53A" w14:textId="77777777" w:rsidR="00047815" w:rsidRPr="009B39EC" w:rsidRDefault="00047815" w:rsidP="001D4A16">
            <w:pPr>
              <w:pStyle w:val="NoSpacing"/>
              <w:jc w:val="both"/>
              <w:rPr>
                <w:rFonts w:ascii="Arial" w:hAnsi="Arial" w:cs="Arial"/>
                <w:sz w:val="20"/>
                <w:szCs w:val="20"/>
                <w:lang w:val="en-GB"/>
              </w:rPr>
            </w:pPr>
          </w:p>
          <w:p w14:paraId="2256D067" w14:textId="673BF8DA" w:rsidR="00F03CCA" w:rsidRPr="009B39EC" w:rsidRDefault="00140D9D" w:rsidP="00140D9D">
            <w:pPr>
              <w:pStyle w:val="NoSpacing"/>
              <w:jc w:val="both"/>
              <w:rPr>
                <w:rFonts w:ascii="Arial" w:hAnsi="Arial" w:cs="Arial"/>
                <w:sz w:val="20"/>
                <w:szCs w:val="20"/>
                <w:lang w:val="en-GB"/>
              </w:rPr>
            </w:pPr>
            <w:r w:rsidRPr="009B39EC">
              <w:rPr>
                <w:rFonts w:ascii="Arial" w:hAnsi="Arial" w:cs="Arial"/>
                <w:sz w:val="20"/>
                <w:szCs w:val="20"/>
                <w:lang w:val="en-GB"/>
              </w:rPr>
              <w:t xml:space="preserve">Article 6/c of </w:t>
            </w:r>
            <w:r w:rsidR="00656C8B" w:rsidRPr="009B39EC">
              <w:rPr>
                <w:rFonts w:ascii="Arial" w:hAnsi="Arial" w:cs="Arial"/>
                <w:sz w:val="20"/>
                <w:szCs w:val="20"/>
                <w:lang w:val="en-GB"/>
              </w:rPr>
              <w:t xml:space="preserve">the </w:t>
            </w:r>
            <w:r w:rsidRPr="009B39EC">
              <w:rPr>
                <w:rFonts w:ascii="Arial" w:hAnsi="Arial" w:cs="Arial"/>
                <w:sz w:val="20"/>
                <w:szCs w:val="20"/>
                <w:lang w:val="en-GB"/>
              </w:rPr>
              <w:t xml:space="preserve">Law </w:t>
            </w:r>
            <w:r w:rsidR="00656C8B" w:rsidRPr="009B39EC">
              <w:rPr>
                <w:rFonts w:ascii="Arial" w:hAnsi="Arial" w:cs="Arial"/>
                <w:sz w:val="20"/>
                <w:szCs w:val="20"/>
                <w:lang w:val="en-GB"/>
              </w:rPr>
              <w:t xml:space="preserve">No. </w:t>
            </w:r>
            <w:r w:rsidR="00A50D58" w:rsidRPr="009B39EC">
              <w:rPr>
                <w:rFonts w:ascii="Arial" w:hAnsi="Arial" w:cs="Arial"/>
                <w:sz w:val="20"/>
                <w:szCs w:val="20"/>
                <w:lang w:val="en-GB"/>
              </w:rPr>
              <w:t>9669/2006 “</w:t>
            </w:r>
            <w:r w:rsidR="008F090B" w:rsidRPr="009B39EC">
              <w:rPr>
                <w:rFonts w:ascii="Arial" w:hAnsi="Arial" w:cs="Arial"/>
                <w:sz w:val="20"/>
                <w:szCs w:val="20"/>
                <w:lang w:val="en-GB"/>
              </w:rPr>
              <w:t>On measures against violence in family relations</w:t>
            </w:r>
            <w:r w:rsidR="00A50D58" w:rsidRPr="009B39EC">
              <w:rPr>
                <w:rFonts w:ascii="Arial" w:hAnsi="Arial" w:cs="Arial"/>
                <w:sz w:val="20"/>
                <w:szCs w:val="20"/>
                <w:lang w:val="en-GB"/>
              </w:rPr>
              <w:t>”</w:t>
            </w:r>
            <w:r w:rsidR="002B0327" w:rsidRPr="009B39EC">
              <w:rPr>
                <w:rFonts w:ascii="Arial" w:hAnsi="Arial" w:cs="Arial"/>
                <w:sz w:val="20"/>
                <w:szCs w:val="20"/>
                <w:lang w:val="en-GB"/>
              </w:rPr>
              <w:t>,</w:t>
            </w:r>
            <w:r w:rsidRPr="009B39EC">
              <w:rPr>
                <w:rFonts w:ascii="Arial" w:hAnsi="Arial" w:cs="Arial"/>
                <w:sz w:val="20"/>
                <w:szCs w:val="20"/>
                <w:lang w:val="en-GB"/>
              </w:rPr>
              <w:t xml:space="preserve"> as amended</w:t>
            </w:r>
            <w:r w:rsidR="00656C8B" w:rsidRPr="009B39EC">
              <w:rPr>
                <w:rFonts w:ascii="Arial" w:hAnsi="Arial" w:cs="Arial"/>
                <w:sz w:val="20"/>
                <w:szCs w:val="20"/>
                <w:lang w:val="en-GB"/>
              </w:rPr>
              <w:t xml:space="preserve"> in 2018</w:t>
            </w:r>
            <w:r w:rsidR="00A50D58" w:rsidRPr="009B39EC">
              <w:rPr>
                <w:rFonts w:ascii="Arial" w:hAnsi="Arial" w:cs="Arial"/>
                <w:sz w:val="20"/>
                <w:szCs w:val="20"/>
                <w:lang w:val="en-GB"/>
              </w:rPr>
              <w:t xml:space="preserve">, </w:t>
            </w:r>
            <w:r w:rsidRPr="009B39EC">
              <w:rPr>
                <w:rFonts w:ascii="Arial" w:hAnsi="Arial" w:cs="Arial"/>
                <w:sz w:val="20"/>
                <w:szCs w:val="20"/>
                <w:lang w:val="en-GB"/>
              </w:rPr>
              <w:t xml:space="preserve">highlights the obligation of the main responsible body to develop policies and monitor </w:t>
            </w:r>
            <w:r w:rsidR="00794186" w:rsidRPr="009B39EC">
              <w:rPr>
                <w:rFonts w:ascii="Arial" w:hAnsi="Arial" w:cs="Arial"/>
                <w:sz w:val="20"/>
                <w:szCs w:val="20"/>
                <w:lang w:val="en-GB"/>
              </w:rPr>
              <w:t>any</w:t>
            </w:r>
            <w:r w:rsidRPr="009B39EC">
              <w:rPr>
                <w:rFonts w:ascii="Arial" w:hAnsi="Arial" w:cs="Arial"/>
                <w:sz w:val="20"/>
                <w:szCs w:val="20"/>
                <w:lang w:val="en-GB"/>
              </w:rPr>
              <w:t xml:space="preserve"> measures taken for the elimination of abuse of children by parents or </w:t>
            </w:r>
            <w:r w:rsidRPr="009B39EC">
              <w:rPr>
                <w:rFonts w:ascii="Arial" w:hAnsi="Arial" w:cs="Arial"/>
                <w:b/>
                <w:bCs/>
                <w:i/>
                <w:iCs/>
                <w:sz w:val="20"/>
                <w:szCs w:val="20"/>
                <w:lang w:val="en-GB"/>
              </w:rPr>
              <w:t>legal guardians</w:t>
            </w:r>
            <w:r w:rsidR="00A50D58" w:rsidRPr="009B39EC">
              <w:rPr>
                <w:rFonts w:ascii="Arial" w:hAnsi="Arial" w:cs="Arial"/>
                <w:sz w:val="20"/>
                <w:szCs w:val="20"/>
                <w:lang w:val="en-GB"/>
              </w:rPr>
              <w:t xml:space="preserve"> </w:t>
            </w:r>
            <w:r w:rsidRPr="009B39EC">
              <w:rPr>
                <w:rFonts w:ascii="Arial" w:hAnsi="Arial" w:cs="Arial"/>
                <w:sz w:val="20"/>
                <w:szCs w:val="20"/>
                <w:lang w:val="en-GB"/>
              </w:rPr>
              <w:t xml:space="preserve">or, in cases where children live in families where parents or legal guardians abuse each other, by </w:t>
            </w:r>
            <w:r w:rsidRPr="009B39EC">
              <w:rPr>
                <w:rFonts w:ascii="Arial" w:hAnsi="Arial" w:cs="Arial"/>
                <w:b/>
                <w:bCs/>
                <w:i/>
                <w:iCs/>
                <w:sz w:val="20"/>
                <w:szCs w:val="20"/>
                <w:lang w:val="en-GB"/>
              </w:rPr>
              <w:t xml:space="preserve">placing them in alternative care </w:t>
            </w:r>
            <w:r w:rsidR="00CA6215" w:rsidRPr="009B39EC">
              <w:rPr>
                <w:rFonts w:ascii="Arial" w:hAnsi="Arial" w:cs="Arial"/>
                <w:b/>
                <w:bCs/>
                <w:i/>
                <w:iCs/>
                <w:sz w:val="20"/>
                <w:szCs w:val="20"/>
                <w:lang w:val="en-GB"/>
              </w:rPr>
              <w:t xml:space="preserve">arrangements </w:t>
            </w:r>
            <w:r w:rsidRPr="009B39EC">
              <w:rPr>
                <w:rFonts w:ascii="Arial" w:hAnsi="Arial" w:cs="Arial"/>
                <w:b/>
                <w:bCs/>
                <w:i/>
                <w:iCs/>
                <w:sz w:val="20"/>
                <w:szCs w:val="20"/>
                <w:lang w:val="en-GB"/>
              </w:rPr>
              <w:t xml:space="preserve">or granting </w:t>
            </w:r>
            <w:r w:rsidR="00CA6215" w:rsidRPr="009B39EC">
              <w:rPr>
                <w:rFonts w:ascii="Arial" w:hAnsi="Arial" w:cs="Arial"/>
                <w:b/>
                <w:bCs/>
                <w:i/>
                <w:iCs/>
                <w:sz w:val="20"/>
                <w:szCs w:val="20"/>
                <w:lang w:val="en-GB"/>
              </w:rPr>
              <w:t xml:space="preserve">them </w:t>
            </w:r>
            <w:r w:rsidRPr="009B39EC">
              <w:rPr>
                <w:rFonts w:ascii="Arial" w:hAnsi="Arial" w:cs="Arial"/>
                <w:b/>
                <w:bCs/>
                <w:i/>
                <w:iCs/>
                <w:sz w:val="20"/>
                <w:szCs w:val="20"/>
                <w:lang w:val="en-GB"/>
              </w:rPr>
              <w:t>emergency protection measure</w:t>
            </w:r>
            <w:r w:rsidR="00CA6215" w:rsidRPr="009B39EC">
              <w:rPr>
                <w:rFonts w:ascii="Arial" w:hAnsi="Arial" w:cs="Arial"/>
                <w:b/>
                <w:bCs/>
                <w:i/>
                <w:iCs/>
                <w:sz w:val="20"/>
                <w:szCs w:val="20"/>
                <w:lang w:val="en-GB"/>
              </w:rPr>
              <w:t>s</w:t>
            </w:r>
            <w:r w:rsidRPr="009B39EC">
              <w:rPr>
                <w:rFonts w:ascii="Arial" w:hAnsi="Arial" w:cs="Arial"/>
                <w:b/>
                <w:bCs/>
                <w:i/>
                <w:iCs/>
                <w:sz w:val="20"/>
                <w:szCs w:val="20"/>
                <w:lang w:val="en-GB"/>
              </w:rPr>
              <w:t xml:space="preserve"> pursuant to the legislation on the protection of the rights of the child</w:t>
            </w:r>
            <w:r w:rsidR="00794186" w:rsidRPr="009B39EC">
              <w:rPr>
                <w:rFonts w:ascii="Arial" w:hAnsi="Arial" w:cs="Arial"/>
                <w:b/>
                <w:bCs/>
                <w:i/>
                <w:iCs/>
                <w:sz w:val="20"/>
                <w:szCs w:val="20"/>
                <w:lang w:val="en-GB"/>
              </w:rPr>
              <w:t xml:space="preserve"> in force</w:t>
            </w:r>
            <w:r w:rsidR="00A50D58" w:rsidRPr="009B39EC">
              <w:rPr>
                <w:rFonts w:ascii="Arial" w:hAnsi="Arial" w:cs="Arial"/>
                <w:b/>
                <w:bCs/>
                <w:i/>
                <w:iCs/>
                <w:sz w:val="20"/>
                <w:szCs w:val="20"/>
                <w:lang w:val="en-GB"/>
              </w:rPr>
              <w:t xml:space="preserve">. </w:t>
            </w:r>
            <w:r w:rsidRPr="009B39EC">
              <w:rPr>
                <w:rFonts w:ascii="Arial" w:hAnsi="Arial" w:cs="Arial"/>
                <w:sz w:val="20"/>
                <w:szCs w:val="20"/>
                <w:lang w:val="en-GB"/>
              </w:rPr>
              <w:t xml:space="preserve">In addition, Article 10, </w:t>
            </w:r>
            <w:r w:rsidR="00A50D58" w:rsidRPr="009B39EC">
              <w:rPr>
                <w:rFonts w:ascii="Arial" w:hAnsi="Arial" w:cs="Arial"/>
                <w:sz w:val="20"/>
                <w:szCs w:val="20"/>
                <w:lang w:val="en-GB"/>
              </w:rPr>
              <w:t>“</w:t>
            </w:r>
            <w:r w:rsidRPr="009B39EC">
              <w:rPr>
                <w:rFonts w:ascii="Arial" w:hAnsi="Arial" w:cs="Arial"/>
                <w:sz w:val="20"/>
                <w:szCs w:val="20"/>
                <w:lang w:val="en-GB"/>
              </w:rPr>
              <w:t>Measures for the protection against domestic violence</w:t>
            </w:r>
            <w:r w:rsidR="00A50D58" w:rsidRPr="009B39EC">
              <w:rPr>
                <w:rFonts w:ascii="Arial" w:hAnsi="Arial" w:cs="Arial"/>
                <w:sz w:val="20"/>
                <w:szCs w:val="20"/>
                <w:lang w:val="en-GB"/>
              </w:rPr>
              <w:t>”,</w:t>
            </w:r>
            <w:r w:rsidRPr="009B39EC">
              <w:rPr>
                <w:rFonts w:ascii="Arial" w:hAnsi="Arial" w:cs="Arial"/>
                <w:sz w:val="20"/>
                <w:szCs w:val="20"/>
                <w:lang w:val="en-GB"/>
              </w:rPr>
              <w:t xml:space="preserve"> paragraph</w:t>
            </w:r>
            <w:r w:rsidR="00A50D58" w:rsidRPr="009B39EC">
              <w:rPr>
                <w:rFonts w:ascii="Arial" w:hAnsi="Arial" w:cs="Arial"/>
                <w:sz w:val="20"/>
                <w:szCs w:val="20"/>
                <w:lang w:val="en-GB"/>
              </w:rPr>
              <w:t xml:space="preserve"> </w:t>
            </w:r>
            <w:r w:rsidRPr="009B39EC">
              <w:rPr>
                <w:rFonts w:ascii="Arial" w:hAnsi="Arial" w:cs="Arial"/>
                <w:sz w:val="20"/>
                <w:szCs w:val="20"/>
                <w:lang w:val="en-GB"/>
              </w:rPr>
              <w:t>(</w:t>
            </w:r>
            <w:r w:rsidR="00A50D58" w:rsidRPr="009B39EC">
              <w:rPr>
                <w:rFonts w:ascii="Arial" w:hAnsi="Arial" w:cs="Arial"/>
                <w:sz w:val="20"/>
                <w:szCs w:val="20"/>
                <w:lang w:val="en-GB"/>
              </w:rPr>
              <w:t>j</w:t>
            </w:r>
            <w:r w:rsidRPr="009B39EC">
              <w:rPr>
                <w:rFonts w:ascii="Arial" w:hAnsi="Arial" w:cs="Arial"/>
                <w:sz w:val="20"/>
                <w:szCs w:val="20"/>
                <w:lang w:val="en-GB"/>
              </w:rPr>
              <w:t>)</w:t>
            </w:r>
            <w:r w:rsidR="001103A6" w:rsidRPr="009B39EC">
              <w:rPr>
                <w:rFonts w:ascii="Arial" w:hAnsi="Arial" w:cs="Arial"/>
                <w:sz w:val="20"/>
                <w:szCs w:val="20"/>
                <w:lang w:val="en-GB"/>
              </w:rPr>
              <w:t>,</w:t>
            </w:r>
            <w:r w:rsidR="00A50D58" w:rsidRPr="009B39EC">
              <w:rPr>
                <w:rFonts w:ascii="Arial" w:hAnsi="Arial" w:cs="Arial"/>
                <w:sz w:val="20"/>
                <w:szCs w:val="20"/>
                <w:lang w:val="en-GB"/>
              </w:rPr>
              <w:t xml:space="preserve"> </w:t>
            </w:r>
            <w:r w:rsidRPr="009B39EC">
              <w:rPr>
                <w:rFonts w:ascii="Arial" w:hAnsi="Arial" w:cs="Arial"/>
                <w:sz w:val="20"/>
                <w:szCs w:val="20"/>
                <w:lang w:val="en-GB"/>
              </w:rPr>
              <w:t xml:space="preserve">provides for the </w:t>
            </w:r>
            <w:r w:rsidR="001103A6" w:rsidRPr="009B39EC">
              <w:rPr>
                <w:rFonts w:ascii="Arial" w:hAnsi="Arial" w:cs="Arial"/>
                <w:sz w:val="20"/>
                <w:szCs w:val="20"/>
                <w:lang w:val="en-GB"/>
              </w:rPr>
              <w:t xml:space="preserve">temporary </w:t>
            </w:r>
            <w:r w:rsidRPr="009B39EC">
              <w:rPr>
                <w:rFonts w:ascii="Arial" w:hAnsi="Arial" w:cs="Arial"/>
                <w:sz w:val="20"/>
                <w:szCs w:val="20"/>
                <w:lang w:val="en-GB"/>
              </w:rPr>
              <w:t xml:space="preserve">removal of the </w:t>
            </w:r>
            <w:r w:rsidR="001103A6" w:rsidRPr="009B39EC">
              <w:rPr>
                <w:rFonts w:ascii="Arial" w:hAnsi="Arial" w:cs="Arial"/>
                <w:sz w:val="20"/>
                <w:szCs w:val="20"/>
                <w:lang w:val="en-GB"/>
              </w:rPr>
              <w:t>perpetrator</w:t>
            </w:r>
            <w:r w:rsidRPr="009B39EC">
              <w:rPr>
                <w:rFonts w:ascii="Arial" w:hAnsi="Arial" w:cs="Arial"/>
                <w:sz w:val="20"/>
                <w:szCs w:val="20"/>
                <w:lang w:val="en-GB"/>
              </w:rPr>
              <w:t xml:space="preserve">’s parental responsibilities or, </w:t>
            </w:r>
            <w:r w:rsidR="00794186" w:rsidRPr="009B39EC">
              <w:rPr>
                <w:rFonts w:ascii="Arial" w:hAnsi="Arial" w:cs="Arial"/>
                <w:sz w:val="20"/>
                <w:szCs w:val="20"/>
                <w:lang w:val="en-GB"/>
              </w:rPr>
              <w:t>where appropriate</w:t>
            </w:r>
            <w:r w:rsidRPr="009B39EC">
              <w:rPr>
                <w:rFonts w:ascii="Arial" w:hAnsi="Arial" w:cs="Arial"/>
                <w:sz w:val="20"/>
                <w:szCs w:val="20"/>
                <w:lang w:val="en-GB"/>
              </w:rPr>
              <w:t xml:space="preserve">, of their guardianship over the minor, </w:t>
            </w:r>
            <w:r w:rsidR="00627FD1" w:rsidRPr="009B39EC">
              <w:rPr>
                <w:rFonts w:ascii="Arial" w:hAnsi="Arial" w:cs="Arial"/>
                <w:sz w:val="20"/>
                <w:szCs w:val="20"/>
                <w:lang w:val="en-GB"/>
              </w:rPr>
              <w:t xml:space="preserve">a </w:t>
            </w:r>
            <w:r w:rsidRPr="009B39EC">
              <w:rPr>
                <w:rFonts w:ascii="Arial" w:hAnsi="Arial" w:cs="Arial"/>
                <w:sz w:val="20"/>
                <w:szCs w:val="20"/>
                <w:lang w:val="en-GB"/>
              </w:rPr>
              <w:t>person</w:t>
            </w:r>
            <w:r w:rsidR="00627FD1" w:rsidRPr="009B39EC">
              <w:rPr>
                <w:rFonts w:ascii="Arial" w:hAnsi="Arial" w:cs="Arial"/>
                <w:sz w:val="20"/>
                <w:szCs w:val="20"/>
                <w:lang w:val="en-GB"/>
              </w:rPr>
              <w:t xml:space="preserve"> with disabilities</w:t>
            </w:r>
            <w:r w:rsidRPr="009B39EC">
              <w:rPr>
                <w:rFonts w:ascii="Arial" w:hAnsi="Arial" w:cs="Arial"/>
                <w:sz w:val="20"/>
                <w:szCs w:val="20"/>
                <w:lang w:val="en-GB"/>
              </w:rPr>
              <w:t xml:space="preserve">, or </w:t>
            </w:r>
            <w:r w:rsidR="00627FD1" w:rsidRPr="009B39EC">
              <w:rPr>
                <w:rFonts w:ascii="Arial" w:hAnsi="Arial" w:cs="Arial"/>
                <w:sz w:val="20"/>
                <w:szCs w:val="20"/>
                <w:lang w:val="en-GB"/>
              </w:rPr>
              <w:t xml:space="preserve">a </w:t>
            </w:r>
            <w:r w:rsidRPr="009B39EC">
              <w:rPr>
                <w:rFonts w:ascii="Arial" w:hAnsi="Arial" w:cs="Arial"/>
                <w:sz w:val="20"/>
                <w:szCs w:val="20"/>
                <w:lang w:val="en-GB"/>
              </w:rPr>
              <w:t>person</w:t>
            </w:r>
            <w:r w:rsidR="00627FD1" w:rsidRPr="009B39EC">
              <w:rPr>
                <w:rFonts w:ascii="Arial" w:hAnsi="Arial" w:cs="Arial"/>
                <w:sz w:val="20"/>
                <w:szCs w:val="20"/>
                <w:lang w:val="en-GB"/>
              </w:rPr>
              <w:t xml:space="preserve"> whose legal standing has been removed or limited by the Court</w:t>
            </w:r>
            <w:r w:rsidR="00A50D58" w:rsidRPr="009B39EC">
              <w:rPr>
                <w:rFonts w:ascii="Arial" w:hAnsi="Arial" w:cs="Arial"/>
                <w:sz w:val="20"/>
                <w:szCs w:val="20"/>
                <w:lang w:val="en-GB"/>
              </w:rPr>
              <w:t xml:space="preserve">. </w:t>
            </w:r>
            <w:r w:rsidRPr="009B39EC">
              <w:rPr>
                <w:rFonts w:ascii="Arial" w:hAnsi="Arial" w:cs="Arial"/>
                <w:sz w:val="20"/>
                <w:szCs w:val="20"/>
                <w:lang w:val="en-GB"/>
              </w:rPr>
              <w:t>Whe</w:t>
            </w:r>
            <w:r w:rsidR="00CA6215" w:rsidRPr="009B39EC">
              <w:rPr>
                <w:rFonts w:ascii="Arial" w:hAnsi="Arial" w:cs="Arial"/>
                <w:sz w:val="20"/>
                <w:szCs w:val="20"/>
                <w:lang w:val="en-GB"/>
              </w:rPr>
              <w:t>re</w:t>
            </w:r>
            <w:r w:rsidRPr="009B39EC">
              <w:rPr>
                <w:rFonts w:ascii="Arial" w:hAnsi="Arial" w:cs="Arial"/>
                <w:sz w:val="20"/>
                <w:szCs w:val="20"/>
                <w:lang w:val="en-GB"/>
              </w:rPr>
              <w:t xml:space="preserve"> the </w:t>
            </w:r>
            <w:r w:rsidR="001103A6" w:rsidRPr="009B39EC">
              <w:rPr>
                <w:rFonts w:ascii="Arial" w:hAnsi="Arial" w:cs="Arial"/>
                <w:sz w:val="20"/>
                <w:szCs w:val="20"/>
                <w:lang w:val="en-GB"/>
              </w:rPr>
              <w:t>judicial authorities</w:t>
            </w:r>
            <w:r w:rsidRPr="009B39EC">
              <w:rPr>
                <w:rFonts w:ascii="Arial" w:hAnsi="Arial" w:cs="Arial"/>
                <w:sz w:val="20"/>
                <w:szCs w:val="20"/>
                <w:lang w:val="en-GB"/>
              </w:rPr>
              <w:t xml:space="preserve"> decide to </w:t>
            </w:r>
            <w:r w:rsidR="005F19DB" w:rsidRPr="009B39EC">
              <w:rPr>
                <w:rFonts w:ascii="Arial" w:hAnsi="Arial" w:cs="Arial"/>
                <w:sz w:val="20"/>
                <w:szCs w:val="20"/>
                <w:lang w:val="en-GB"/>
              </w:rPr>
              <w:t xml:space="preserve">remove </w:t>
            </w:r>
            <w:r w:rsidR="00794186" w:rsidRPr="009B39EC">
              <w:rPr>
                <w:rFonts w:ascii="Arial" w:hAnsi="Arial" w:cs="Arial"/>
                <w:sz w:val="20"/>
                <w:szCs w:val="20"/>
                <w:lang w:val="en-GB"/>
              </w:rPr>
              <w:t xml:space="preserve">the </w:t>
            </w:r>
            <w:r w:rsidR="005F19DB" w:rsidRPr="009B39EC">
              <w:rPr>
                <w:rFonts w:ascii="Arial" w:hAnsi="Arial" w:cs="Arial"/>
                <w:sz w:val="20"/>
                <w:szCs w:val="20"/>
                <w:lang w:val="en-GB"/>
              </w:rPr>
              <w:t xml:space="preserve">parental responsibility </w:t>
            </w:r>
            <w:r w:rsidR="00794186" w:rsidRPr="009B39EC">
              <w:rPr>
                <w:rFonts w:ascii="Arial" w:hAnsi="Arial" w:cs="Arial"/>
                <w:sz w:val="20"/>
                <w:szCs w:val="20"/>
                <w:lang w:val="en-GB"/>
              </w:rPr>
              <w:t>of</w:t>
            </w:r>
            <w:r w:rsidR="005F19DB" w:rsidRPr="009B39EC">
              <w:rPr>
                <w:rFonts w:ascii="Arial" w:hAnsi="Arial" w:cs="Arial"/>
                <w:sz w:val="20"/>
                <w:szCs w:val="20"/>
                <w:lang w:val="en-GB"/>
              </w:rPr>
              <w:t xml:space="preserve"> both parents, or a single parent, </w:t>
            </w:r>
            <w:r w:rsidR="00794186" w:rsidRPr="009B39EC">
              <w:rPr>
                <w:rFonts w:ascii="Arial" w:hAnsi="Arial" w:cs="Arial"/>
                <w:b/>
                <w:bCs/>
                <w:i/>
                <w:iCs/>
                <w:sz w:val="20"/>
                <w:szCs w:val="20"/>
                <w:lang w:val="en-GB"/>
              </w:rPr>
              <w:t xml:space="preserve">the child is placed </w:t>
            </w:r>
            <w:r w:rsidR="00CA6215" w:rsidRPr="009B39EC">
              <w:rPr>
                <w:rFonts w:ascii="Arial" w:hAnsi="Arial" w:cs="Arial"/>
                <w:b/>
                <w:bCs/>
                <w:i/>
                <w:iCs/>
                <w:sz w:val="20"/>
                <w:szCs w:val="20"/>
                <w:lang w:val="en-GB"/>
              </w:rPr>
              <w:t>in t</w:t>
            </w:r>
            <w:r w:rsidR="005F19DB" w:rsidRPr="009B39EC">
              <w:rPr>
                <w:rFonts w:ascii="Arial" w:hAnsi="Arial" w:cs="Arial"/>
                <w:b/>
                <w:bCs/>
                <w:i/>
                <w:iCs/>
                <w:sz w:val="20"/>
                <w:szCs w:val="20"/>
                <w:lang w:val="en-GB"/>
              </w:rPr>
              <w:t xml:space="preserve">emporary </w:t>
            </w:r>
            <w:r w:rsidR="00CA6215" w:rsidRPr="009B39EC">
              <w:rPr>
                <w:rFonts w:ascii="Arial" w:hAnsi="Arial" w:cs="Arial"/>
                <w:b/>
                <w:bCs/>
                <w:i/>
                <w:iCs/>
                <w:sz w:val="20"/>
                <w:szCs w:val="20"/>
                <w:lang w:val="en-GB"/>
              </w:rPr>
              <w:t>custody pursuant to the rules provided in the Family Code and the procedural law in force</w:t>
            </w:r>
            <w:r w:rsidR="00A50D58" w:rsidRPr="009B39EC">
              <w:rPr>
                <w:rFonts w:ascii="Arial" w:hAnsi="Arial" w:cs="Arial"/>
                <w:b/>
                <w:bCs/>
                <w:i/>
                <w:iCs/>
                <w:sz w:val="20"/>
                <w:szCs w:val="20"/>
                <w:lang w:val="en-GB"/>
              </w:rPr>
              <w:t xml:space="preserve">. </w:t>
            </w:r>
            <w:r w:rsidR="00794186" w:rsidRPr="009B39EC">
              <w:rPr>
                <w:rFonts w:ascii="Arial" w:hAnsi="Arial" w:cs="Arial"/>
                <w:sz w:val="20"/>
                <w:szCs w:val="20"/>
                <w:lang w:val="en-GB"/>
              </w:rPr>
              <w:t xml:space="preserve">Paragraph 2 of </w:t>
            </w:r>
            <w:r w:rsidR="000D7BBE" w:rsidRPr="009B39EC">
              <w:rPr>
                <w:rFonts w:ascii="Arial" w:hAnsi="Arial" w:cs="Arial"/>
                <w:sz w:val="20"/>
                <w:szCs w:val="20"/>
                <w:lang w:val="en-GB"/>
              </w:rPr>
              <w:t>Article</w:t>
            </w:r>
            <w:r w:rsidR="00B2634E" w:rsidRPr="009B39EC">
              <w:rPr>
                <w:rFonts w:ascii="Arial" w:hAnsi="Arial" w:cs="Arial"/>
                <w:sz w:val="20"/>
                <w:szCs w:val="20"/>
                <w:lang w:val="en-GB"/>
              </w:rPr>
              <w:t xml:space="preserve"> 11</w:t>
            </w:r>
            <w:r w:rsidR="00794186" w:rsidRPr="009B39EC">
              <w:rPr>
                <w:rFonts w:ascii="Arial" w:hAnsi="Arial" w:cs="Arial"/>
                <w:sz w:val="20"/>
                <w:szCs w:val="20"/>
                <w:lang w:val="en-GB"/>
              </w:rPr>
              <w:t>,</w:t>
            </w:r>
            <w:r w:rsidR="00B2634E" w:rsidRPr="009B39EC">
              <w:rPr>
                <w:rFonts w:ascii="Arial" w:hAnsi="Arial" w:cs="Arial"/>
                <w:sz w:val="20"/>
                <w:szCs w:val="20"/>
                <w:lang w:val="en-GB"/>
              </w:rPr>
              <w:t xml:space="preserve"> “</w:t>
            </w:r>
            <w:r w:rsidR="00CA6215" w:rsidRPr="009B39EC">
              <w:rPr>
                <w:rFonts w:ascii="Arial" w:hAnsi="Arial" w:cs="Arial"/>
                <w:sz w:val="20"/>
                <w:szCs w:val="20"/>
                <w:lang w:val="en-GB"/>
              </w:rPr>
              <w:t xml:space="preserve">Effect of </w:t>
            </w:r>
            <w:r w:rsidR="00794186" w:rsidRPr="009B39EC">
              <w:rPr>
                <w:rFonts w:ascii="Arial" w:hAnsi="Arial" w:cs="Arial"/>
                <w:sz w:val="20"/>
                <w:szCs w:val="20"/>
                <w:lang w:val="en-GB"/>
              </w:rPr>
              <w:t xml:space="preserve">the </w:t>
            </w:r>
            <w:r w:rsidR="00CA6215" w:rsidRPr="009B39EC">
              <w:rPr>
                <w:rFonts w:ascii="Arial" w:hAnsi="Arial" w:cs="Arial"/>
                <w:sz w:val="20"/>
                <w:szCs w:val="20"/>
                <w:lang w:val="en-GB"/>
              </w:rPr>
              <w:t>protection order</w:t>
            </w:r>
            <w:r w:rsidR="00B2634E" w:rsidRPr="009B39EC">
              <w:rPr>
                <w:rFonts w:ascii="Arial" w:hAnsi="Arial" w:cs="Arial"/>
                <w:sz w:val="20"/>
                <w:szCs w:val="20"/>
                <w:lang w:val="en-GB"/>
              </w:rPr>
              <w:t>”</w:t>
            </w:r>
            <w:r w:rsidR="00CA6215" w:rsidRPr="009B39EC">
              <w:rPr>
                <w:rFonts w:ascii="Arial" w:hAnsi="Arial" w:cs="Arial"/>
                <w:sz w:val="20"/>
                <w:szCs w:val="20"/>
                <w:lang w:val="en-GB"/>
              </w:rPr>
              <w:t xml:space="preserve">, also clearly </w:t>
            </w:r>
            <w:r w:rsidR="00794186" w:rsidRPr="009B39EC">
              <w:rPr>
                <w:rFonts w:ascii="Arial" w:hAnsi="Arial" w:cs="Arial"/>
                <w:sz w:val="20"/>
                <w:szCs w:val="20"/>
                <w:lang w:val="en-GB"/>
              </w:rPr>
              <w:t>states</w:t>
            </w:r>
            <w:r w:rsidR="00CA6215" w:rsidRPr="009B39EC">
              <w:rPr>
                <w:rFonts w:ascii="Arial" w:hAnsi="Arial" w:cs="Arial"/>
                <w:sz w:val="20"/>
                <w:szCs w:val="20"/>
                <w:lang w:val="en-GB"/>
              </w:rPr>
              <w:t xml:space="preserve"> that a</w:t>
            </w:r>
            <w:r w:rsidR="00CA6215" w:rsidRPr="009B39EC">
              <w:rPr>
                <w:rFonts w:ascii="Arial" w:hAnsi="Arial" w:cs="Arial"/>
                <w:b/>
                <w:bCs/>
                <w:sz w:val="20"/>
                <w:szCs w:val="20"/>
                <w:lang w:val="en-GB"/>
              </w:rPr>
              <w:t xml:space="preserve"> protection order or</w:t>
            </w:r>
            <w:r w:rsidR="00823895" w:rsidRPr="009B39EC">
              <w:rPr>
                <w:rFonts w:ascii="Arial" w:hAnsi="Arial" w:cs="Arial"/>
                <w:b/>
                <w:bCs/>
                <w:sz w:val="20"/>
                <w:szCs w:val="20"/>
                <w:lang w:val="en-GB"/>
              </w:rPr>
              <w:t xml:space="preserve"> emergency protection </w:t>
            </w:r>
            <w:r w:rsidR="00CA6215" w:rsidRPr="009B39EC">
              <w:rPr>
                <w:rFonts w:ascii="Arial" w:hAnsi="Arial" w:cs="Arial"/>
                <w:b/>
                <w:bCs/>
                <w:sz w:val="20"/>
                <w:szCs w:val="20"/>
                <w:lang w:val="en-GB"/>
              </w:rPr>
              <w:t xml:space="preserve">order issued by the judicial authorities, or the </w:t>
            </w:r>
            <w:r w:rsidR="00445CB5" w:rsidRPr="009B39EC">
              <w:rPr>
                <w:rFonts w:ascii="Arial" w:hAnsi="Arial" w:cs="Arial"/>
                <w:b/>
                <w:bCs/>
                <w:sz w:val="20"/>
                <w:szCs w:val="20"/>
                <w:lang w:val="en-GB"/>
              </w:rPr>
              <w:t>cessation</w:t>
            </w:r>
            <w:r w:rsidR="00CA6215" w:rsidRPr="009B39EC">
              <w:rPr>
                <w:rFonts w:ascii="Arial" w:hAnsi="Arial" w:cs="Arial"/>
                <w:b/>
                <w:bCs/>
                <w:sz w:val="20"/>
                <w:szCs w:val="20"/>
                <w:lang w:val="en-GB"/>
              </w:rPr>
              <w:t xml:space="preserve"> th</w:t>
            </w:r>
            <w:r w:rsidR="00794186" w:rsidRPr="009B39EC">
              <w:rPr>
                <w:rFonts w:ascii="Arial" w:hAnsi="Arial" w:cs="Arial"/>
                <w:b/>
                <w:bCs/>
                <w:sz w:val="20"/>
                <w:szCs w:val="20"/>
                <w:lang w:val="en-GB"/>
              </w:rPr>
              <w:t xml:space="preserve">ereof </w:t>
            </w:r>
            <w:r w:rsidR="00CA6215" w:rsidRPr="009B39EC">
              <w:rPr>
                <w:rFonts w:ascii="Arial" w:hAnsi="Arial" w:cs="Arial"/>
                <w:b/>
                <w:bCs/>
                <w:sz w:val="20"/>
                <w:szCs w:val="20"/>
                <w:lang w:val="en-GB"/>
              </w:rPr>
              <w:t>shall not permanently affect property or custody rights</w:t>
            </w:r>
            <w:r w:rsidR="00B2634E" w:rsidRPr="009B39EC">
              <w:rPr>
                <w:rFonts w:ascii="Arial" w:hAnsi="Arial" w:cs="Arial"/>
                <w:sz w:val="20"/>
                <w:szCs w:val="20"/>
                <w:lang w:val="en-GB"/>
              </w:rPr>
              <w:t>.</w:t>
            </w:r>
          </w:p>
          <w:p w14:paraId="5F9FC7B0" w14:textId="77777777" w:rsidR="002C67CC" w:rsidRPr="009B39EC" w:rsidRDefault="002C67CC" w:rsidP="00F03CCA">
            <w:pPr>
              <w:pStyle w:val="NoSpacing"/>
              <w:jc w:val="both"/>
              <w:rPr>
                <w:rFonts w:ascii="Arial" w:hAnsi="Arial" w:cs="Arial"/>
                <w:sz w:val="20"/>
                <w:szCs w:val="20"/>
                <w:lang w:val="en-GB"/>
              </w:rPr>
            </w:pPr>
          </w:p>
          <w:p w14:paraId="6E82FEB5" w14:textId="3194DEAF" w:rsidR="002C67CC" w:rsidRPr="009B39EC" w:rsidRDefault="00CA6215" w:rsidP="009C6CA1">
            <w:pPr>
              <w:jc w:val="both"/>
              <w:rPr>
                <w:rFonts w:ascii="Arial" w:hAnsi="Arial" w:cs="Arial"/>
                <w:sz w:val="20"/>
                <w:szCs w:val="20"/>
                <w:lang w:val="en-GB"/>
              </w:rPr>
            </w:pPr>
            <w:r w:rsidRPr="009B39EC">
              <w:rPr>
                <w:rFonts w:ascii="Arial" w:hAnsi="Arial" w:cs="Arial"/>
                <w:sz w:val="20"/>
                <w:szCs w:val="20"/>
                <w:lang w:val="en-GB"/>
              </w:rPr>
              <w:t>Article 53</w:t>
            </w:r>
            <w:r w:rsidR="00794186" w:rsidRPr="009B39EC">
              <w:rPr>
                <w:rFonts w:ascii="Arial" w:hAnsi="Arial" w:cs="Arial"/>
                <w:sz w:val="20"/>
                <w:szCs w:val="20"/>
                <w:lang w:val="en-GB"/>
              </w:rPr>
              <w:t>,</w:t>
            </w:r>
            <w:r w:rsidRPr="009B39EC">
              <w:rPr>
                <w:rFonts w:ascii="Arial" w:hAnsi="Arial" w:cs="Arial"/>
                <w:sz w:val="20"/>
                <w:szCs w:val="20"/>
                <w:lang w:val="en-GB"/>
              </w:rPr>
              <w:t xml:space="preserve"> “Child protection”</w:t>
            </w:r>
            <w:r w:rsidR="00794186" w:rsidRPr="009B39EC">
              <w:rPr>
                <w:rFonts w:ascii="Arial" w:hAnsi="Arial" w:cs="Arial"/>
                <w:sz w:val="20"/>
                <w:szCs w:val="20"/>
                <w:lang w:val="en-GB"/>
              </w:rPr>
              <w:t>,</w:t>
            </w:r>
            <w:r w:rsidRPr="009B39EC">
              <w:rPr>
                <w:rFonts w:ascii="Arial" w:hAnsi="Arial" w:cs="Arial"/>
                <w:sz w:val="20"/>
                <w:szCs w:val="20"/>
                <w:lang w:val="en-GB"/>
              </w:rPr>
              <w:t xml:space="preserve"> of </w:t>
            </w:r>
            <w:r w:rsidR="002C67CC" w:rsidRPr="009B39EC">
              <w:rPr>
                <w:rFonts w:ascii="Arial" w:hAnsi="Arial" w:cs="Arial"/>
                <w:sz w:val="20"/>
                <w:szCs w:val="20"/>
                <w:lang w:val="en-GB"/>
              </w:rPr>
              <w:t>L</w:t>
            </w:r>
            <w:r w:rsidRPr="009B39EC">
              <w:rPr>
                <w:rFonts w:ascii="Arial" w:hAnsi="Arial" w:cs="Arial"/>
                <w:sz w:val="20"/>
                <w:szCs w:val="20"/>
                <w:lang w:val="en-GB"/>
              </w:rPr>
              <w:t>aw No.</w:t>
            </w:r>
            <w:r w:rsidR="002C67CC" w:rsidRPr="009B39EC">
              <w:rPr>
                <w:rFonts w:ascii="Arial" w:hAnsi="Arial" w:cs="Arial"/>
                <w:sz w:val="20"/>
                <w:szCs w:val="20"/>
                <w:lang w:val="en-GB"/>
              </w:rPr>
              <w:t xml:space="preserve"> 18/2017 “</w:t>
            </w:r>
            <w:r w:rsidRPr="009B39EC">
              <w:rPr>
                <w:rFonts w:ascii="Arial" w:hAnsi="Arial" w:cs="Arial"/>
                <w:sz w:val="20"/>
                <w:szCs w:val="20"/>
                <w:lang w:val="en-GB"/>
              </w:rPr>
              <w:t>On the rights and protection of the child</w:t>
            </w:r>
            <w:r w:rsidR="002C67CC" w:rsidRPr="009B39EC">
              <w:rPr>
                <w:rFonts w:ascii="Arial" w:hAnsi="Arial" w:cs="Arial"/>
                <w:sz w:val="20"/>
                <w:szCs w:val="20"/>
                <w:lang w:val="en-GB"/>
              </w:rPr>
              <w:t xml:space="preserve">” </w:t>
            </w:r>
            <w:r w:rsidRPr="009B39EC">
              <w:rPr>
                <w:rFonts w:ascii="Arial" w:hAnsi="Arial" w:cs="Arial"/>
                <w:sz w:val="20"/>
                <w:szCs w:val="20"/>
                <w:lang w:val="en-GB"/>
              </w:rPr>
              <w:t>provides that</w:t>
            </w:r>
            <w:r w:rsidR="002C67CC" w:rsidRPr="009B39EC">
              <w:rPr>
                <w:rFonts w:ascii="Arial" w:hAnsi="Arial" w:cs="Arial"/>
                <w:sz w:val="20"/>
                <w:szCs w:val="20"/>
                <w:lang w:val="en-GB"/>
              </w:rPr>
              <w:t xml:space="preserve">: </w:t>
            </w:r>
            <w:r w:rsidR="001B296C" w:rsidRPr="009B39EC">
              <w:rPr>
                <w:rFonts w:ascii="Arial" w:hAnsi="Arial" w:cs="Arial"/>
                <w:sz w:val="20"/>
                <w:szCs w:val="20"/>
                <w:lang w:val="en-GB"/>
              </w:rPr>
              <w:t xml:space="preserve">Child protection is realized through protection measures, interventions </w:t>
            </w:r>
            <w:r w:rsidR="00794186" w:rsidRPr="009B39EC">
              <w:rPr>
                <w:rFonts w:ascii="Arial" w:hAnsi="Arial" w:cs="Arial"/>
                <w:sz w:val="20"/>
                <w:szCs w:val="20"/>
                <w:lang w:val="en-GB"/>
              </w:rPr>
              <w:t xml:space="preserve">to ensure </w:t>
            </w:r>
            <w:r w:rsidR="001B296C" w:rsidRPr="009B39EC">
              <w:rPr>
                <w:rFonts w:ascii="Arial" w:hAnsi="Arial" w:cs="Arial"/>
                <w:sz w:val="20"/>
                <w:szCs w:val="20"/>
                <w:lang w:val="en-GB"/>
              </w:rPr>
              <w:t>respect</w:t>
            </w:r>
            <w:r w:rsidR="00794186" w:rsidRPr="009B39EC">
              <w:rPr>
                <w:rFonts w:ascii="Arial" w:hAnsi="Arial" w:cs="Arial"/>
                <w:sz w:val="20"/>
                <w:szCs w:val="20"/>
                <w:lang w:val="en-GB"/>
              </w:rPr>
              <w:t xml:space="preserve"> for</w:t>
            </w:r>
            <w:r w:rsidR="001B296C" w:rsidRPr="009B39EC">
              <w:rPr>
                <w:rFonts w:ascii="Arial" w:hAnsi="Arial" w:cs="Arial"/>
                <w:sz w:val="20"/>
                <w:szCs w:val="20"/>
                <w:lang w:val="en-GB"/>
              </w:rPr>
              <w:t xml:space="preserve"> the rights of the child and provision of services, where necessary, aiming at [ensuring] the development and well-being of the child in the family environment, or</w:t>
            </w:r>
            <w:r w:rsidR="001B296C" w:rsidRPr="009B39EC">
              <w:rPr>
                <w:rFonts w:ascii="Arial" w:hAnsi="Arial" w:cs="Arial"/>
                <w:b/>
                <w:bCs/>
                <w:i/>
                <w:iCs/>
                <w:sz w:val="20"/>
                <w:szCs w:val="20"/>
                <w:lang w:val="en-GB"/>
              </w:rPr>
              <w:t xml:space="preserve"> </w:t>
            </w:r>
            <w:r w:rsidR="00794186" w:rsidRPr="009B39EC">
              <w:rPr>
                <w:rFonts w:ascii="Arial" w:hAnsi="Arial" w:cs="Arial"/>
                <w:b/>
                <w:bCs/>
                <w:i/>
                <w:iCs/>
                <w:sz w:val="20"/>
                <w:szCs w:val="20"/>
                <w:lang w:val="en-GB"/>
              </w:rPr>
              <w:t xml:space="preserve">by placing </w:t>
            </w:r>
            <w:r w:rsidR="001B296C" w:rsidRPr="009B39EC">
              <w:rPr>
                <w:rFonts w:ascii="Arial" w:hAnsi="Arial" w:cs="Arial"/>
                <w:b/>
                <w:bCs/>
                <w:i/>
                <w:iCs/>
                <w:sz w:val="20"/>
                <w:szCs w:val="20"/>
                <w:lang w:val="en-GB"/>
              </w:rPr>
              <w:t>the child in alternative care</w:t>
            </w:r>
            <w:r w:rsidR="001B296C" w:rsidRPr="009B39EC">
              <w:rPr>
                <w:rFonts w:ascii="Arial" w:hAnsi="Arial" w:cs="Arial"/>
                <w:sz w:val="20"/>
                <w:szCs w:val="20"/>
                <w:lang w:val="en-GB"/>
              </w:rPr>
              <w:t xml:space="preserve">, </w:t>
            </w:r>
            <w:r w:rsidR="00794186" w:rsidRPr="009B39EC">
              <w:rPr>
                <w:rFonts w:ascii="Arial" w:hAnsi="Arial" w:cs="Arial"/>
                <w:sz w:val="20"/>
                <w:szCs w:val="20"/>
                <w:lang w:val="en-GB"/>
              </w:rPr>
              <w:t xml:space="preserve">in cases where </w:t>
            </w:r>
            <w:r w:rsidR="001B296C" w:rsidRPr="009B39EC">
              <w:rPr>
                <w:rFonts w:ascii="Arial" w:hAnsi="Arial" w:cs="Arial"/>
                <w:sz w:val="20"/>
                <w:szCs w:val="20"/>
                <w:lang w:val="en-GB"/>
              </w:rPr>
              <w:t xml:space="preserve">the child has been temporarily or permanently </w:t>
            </w:r>
            <w:r w:rsidR="00794186" w:rsidRPr="009B39EC">
              <w:rPr>
                <w:rFonts w:ascii="Arial" w:hAnsi="Arial" w:cs="Arial"/>
                <w:sz w:val="20"/>
                <w:szCs w:val="20"/>
                <w:lang w:val="en-GB"/>
              </w:rPr>
              <w:t xml:space="preserve">removed from </w:t>
            </w:r>
            <w:r w:rsidR="001B296C" w:rsidRPr="009B39EC">
              <w:rPr>
                <w:rFonts w:ascii="Arial" w:hAnsi="Arial" w:cs="Arial"/>
                <w:sz w:val="20"/>
                <w:szCs w:val="20"/>
                <w:lang w:val="en-GB"/>
              </w:rPr>
              <w:t xml:space="preserve">parental care and protection, or </w:t>
            </w:r>
            <w:r w:rsidR="001B296C" w:rsidRPr="009B39EC">
              <w:rPr>
                <w:rFonts w:ascii="Arial" w:hAnsi="Arial" w:cs="Arial"/>
                <w:b/>
                <w:bCs/>
                <w:i/>
                <w:iCs/>
                <w:sz w:val="20"/>
                <w:szCs w:val="20"/>
                <w:lang w:val="en-GB"/>
              </w:rPr>
              <w:t xml:space="preserve">where, due to considerations of the best interests of the child, the </w:t>
            </w:r>
            <w:r w:rsidR="00794186" w:rsidRPr="009B39EC">
              <w:rPr>
                <w:rFonts w:ascii="Arial" w:hAnsi="Arial" w:cs="Arial"/>
                <w:b/>
                <w:bCs/>
                <w:i/>
                <w:iCs/>
                <w:sz w:val="20"/>
                <w:szCs w:val="20"/>
                <w:lang w:val="en-GB"/>
              </w:rPr>
              <w:t>child</w:t>
            </w:r>
            <w:r w:rsidR="001B296C" w:rsidRPr="009B39EC">
              <w:rPr>
                <w:rFonts w:ascii="Arial" w:hAnsi="Arial" w:cs="Arial"/>
                <w:b/>
                <w:bCs/>
                <w:i/>
                <w:iCs/>
                <w:sz w:val="20"/>
                <w:szCs w:val="20"/>
                <w:lang w:val="en-GB"/>
              </w:rPr>
              <w:t xml:space="preserve"> cannot be entrusted to parental care</w:t>
            </w:r>
            <w:r w:rsidR="001B296C" w:rsidRPr="009B39EC">
              <w:rPr>
                <w:rFonts w:ascii="Arial" w:hAnsi="Arial" w:cs="Arial"/>
                <w:b/>
                <w:bCs/>
                <w:sz w:val="20"/>
                <w:szCs w:val="20"/>
                <w:lang w:val="en-GB"/>
              </w:rPr>
              <w:t xml:space="preserve">. </w:t>
            </w:r>
            <w:r w:rsidR="001B296C" w:rsidRPr="009B39EC">
              <w:rPr>
                <w:rFonts w:ascii="Arial" w:hAnsi="Arial" w:cs="Arial"/>
                <w:sz w:val="20"/>
                <w:szCs w:val="20"/>
                <w:lang w:val="en-GB"/>
              </w:rPr>
              <w:t xml:space="preserve">These concepts are further elaborated in other articles </w:t>
            </w:r>
            <w:r w:rsidR="00794186" w:rsidRPr="009B39EC">
              <w:rPr>
                <w:rFonts w:ascii="Arial" w:hAnsi="Arial" w:cs="Arial"/>
                <w:sz w:val="20"/>
                <w:szCs w:val="20"/>
                <w:lang w:val="en-GB"/>
              </w:rPr>
              <w:t xml:space="preserve">focusing on </w:t>
            </w:r>
            <w:r w:rsidR="00AF603C" w:rsidRPr="009B39EC">
              <w:rPr>
                <w:rFonts w:ascii="Arial" w:hAnsi="Arial" w:cs="Arial"/>
                <w:sz w:val="20"/>
                <w:szCs w:val="20"/>
                <w:lang w:val="en-GB"/>
              </w:rPr>
              <w:t>the protection of the child from all forms of violence and abuse</w:t>
            </w:r>
            <w:r w:rsidR="00F43C95" w:rsidRPr="009B39EC">
              <w:rPr>
                <w:rFonts w:ascii="Arial" w:hAnsi="Arial" w:cs="Arial"/>
                <w:sz w:val="20"/>
                <w:szCs w:val="20"/>
                <w:lang w:val="en-GB"/>
              </w:rPr>
              <w:t xml:space="preserve">. </w:t>
            </w:r>
            <w:r w:rsidR="001B296C" w:rsidRPr="009B39EC">
              <w:rPr>
                <w:rFonts w:ascii="Arial" w:hAnsi="Arial" w:cs="Arial"/>
                <w:sz w:val="20"/>
                <w:szCs w:val="20"/>
                <w:lang w:val="en-GB"/>
              </w:rPr>
              <w:t xml:space="preserve">This means that child custody and visitation rights are determined </w:t>
            </w:r>
            <w:r w:rsidR="009B39EC" w:rsidRPr="009B39EC">
              <w:rPr>
                <w:rFonts w:ascii="Arial" w:hAnsi="Arial" w:cs="Arial"/>
                <w:sz w:val="20"/>
                <w:szCs w:val="20"/>
                <w:lang w:val="en-GB"/>
              </w:rPr>
              <w:t>based on</w:t>
            </w:r>
            <w:r w:rsidR="001B296C" w:rsidRPr="009B39EC">
              <w:rPr>
                <w:rFonts w:ascii="Arial" w:hAnsi="Arial" w:cs="Arial"/>
                <w:sz w:val="20"/>
                <w:szCs w:val="20"/>
                <w:lang w:val="en-GB"/>
              </w:rPr>
              <w:t xml:space="preserve"> the child’s situation in relation to his or her parents or legal </w:t>
            </w:r>
            <w:r w:rsidR="001B296C" w:rsidRPr="009B39EC">
              <w:rPr>
                <w:rFonts w:ascii="Arial" w:hAnsi="Arial" w:cs="Arial"/>
                <w:sz w:val="20"/>
                <w:szCs w:val="20"/>
                <w:lang w:val="en-GB"/>
              </w:rPr>
              <w:lastRenderedPageBreak/>
              <w:t>guardians</w:t>
            </w:r>
            <w:r w:rsidR="00F43C95" w:rsidRPr="009B39EC">
              <w:rPr>
                <w:rFonts w:ascii="Arial" w:hAnsi="Arial" w:cs="Arial"/>
                <w:sz w:val="20"/>
                <w:szCs w:val="20"/>
                <w:lang w:val="en-GB"/>
              </w:rPr>
              <w:t xml:space="preserve">. </w:t>
            </w:r>
            <w:r w:rsidR="00AF603C" w:rsidRPr="009B39EC">
              <w:rPr>
                <w:rFonts w:ascii="Arial" w:hAnsi="Arial" w:cs="Arial"/>
                <w:sz w:val="20"/>
                <w:szCs w:val="20"/>
                <w:lang w:val="en-GB"/>
              </w:rPr>
              <w:t>Where it is established that one of the forms of violence defined in the Convention</w:t>
            </w:r>
            <w:r w:rsidR="00794186" w:rsidRPr="009B39EC">
              <w:rPr>
                <w:rFonts w:ascii="Arial" w:hAnsi="Arial" w:cs="Arial"/>
                <w:sz w:val="20"/>
                <w:szCs w:val="20"/>
                <w:lang w:val="en-GB"/>
              </w:rPr>
              <w:t xml:space="preserve"> has been committed against the child</w:t>
            </w:r>
            <w:r w:rsidR="00AF603C" w:rsidRPr="009B39EC">
              <w:rPr>
                <w:rFonts w:ascii="Arial" w:hAnsi="Arial" w:cs="Arial"/>
                <w:sz w:val="20"/>
                <w:szCs w:val="20"/>
                <w:lang w:val="en-GB"/>
              </w:rPr>
              <w:t xml:space="preserve">, </w:t>
            </w:r>
            <w:r w:rsidR="00794186" w:rsidRPr="009B39EC">
              <w:rPr>
                <w:rFonts w:ascii="Arial" w:hAnsi="Arial" w:cs="Arial"/>
                <w:sz w:val="20"/>
                <w:szCs w:val="20"/>
                <w:lang w:val="en-GB"/>
              </w:rPr>
              <w:t xml:space="preserve">the courts impose </w:t>
            </w:r>
            <w:r w:rsidR="00AF603C" w:rsidRPr="009B39EC">
              <w:rPr>
                <w:rFonts w:ascii="Arial" w:hAnsi="Arial" w:cs="Arial"/>
                <w:sz w:val="20"/>
                <w:szCs w:val="20"/>
                <w:lang w:val="en-GB"/>
              </w:rPr>
              <w:t>restrictive measures</w:t>
            </w:r>
            <w:r w:rsidR="003F0B9C" w:rsidRPr="009B39EC">
              <w:rPr>
                <w:rFonts w:ascii="Arial" w:hAnsi="Arial" w:cs="Arial"/>
                <w:sz w:val="20"/>
                <w:szCs w:val="20"/>
                <w:lang w:val="en-GB"/>
              </w:rPr>
              <w:t xml:space="preserve">, </w:t>
            </w:r>
            <w:r w:rsidR="00794186" w:rsidRPr="009B39EC">
              <w:rPr>
                <w:rFonts w:ascii="Arial" w:hAnsi="Arial" w:cs="Arial"/>
                <w:sz w:val="20"/>
                <w:szCs w:val="20"/>
                <w:lang w:val="en-GB"/>
              </w:rPr>
              <w:t xml:space="preserve">keeping </w:t>
            </w:r>
            <w:r w:rsidR="00AF603C" w:rsidRPr="009B39EC">
              <w:rPr>
                <w:rFonts w:ascii="Arial" w:hAnsi="Arial" w:cs="Arial"/>
                <w:sz w:val="20"/>
                <w:szCs w:val="20"/>
                <w:lang w:val="en-GB"/>
              </w:rPr>
              <w:t>the best interest of the child</w:t>
            </w:r>
            <w:r w:rsidR="003F0B9C" w:rsidRPr="009B39EC">
              <w:rPr>
                <w:rFonts w:ascii="Arial" w:hAnsi="Arial" w:cs="Arial"/>
                <w:sz w:val="20"/>
                <w:szCs w:val="20"/>
                <w:lang w:val="en-GB"/>
              </w:rPr>
              <w:t xml:space="preserve"> in mind</w:t>
            </w:r>
            <w:r w:rsidR="00AF603C" w:rsidRPr="009B39EC">
              <w:rPr>
                <w:rFonts w:ascii="Arial" w:hAnsi="Arial" w:cs="Arial"/>
                <w:sz w:val="20"/>
                <w:szCs w:val="20"/>
                <w:lang w:val="en-GB"/>
              </w:rPr>
              <w:t>, including the placement of the child in alternative care</w:t>
            </w:r>
            <w:r w:rsidR="00F43C95" w:rsidRPr="009B39EC">
              <w:rPr>
                <w:rFonts w:ascii="Arial" w:hAnsi="Arial" w:cs="Arial"/>
                <w:sz w:val="20"/>
                <w:szCs w:val="20"/>
                <w:lang w:val="en-GB"/>
              </w:rPr>
              <w:t>.</w:t>
            </w:r>
          </w:p>
          <w:p w14:paraId="6995FB8F" w14:textId="77777777" w:rsidR="001B4838" w:rsidRPr="009B39EC" w:rsidRDefault="001B4838" w:rsidP="002C67CC">
            <w:pPr>
              <w:pStyle w:val="NoSpacing"/>
              <w:jc w:val="both"/>
              <w:rPr>
                <w:rFonts w:ascii="Arial" w:hAnsi="Arial" w:cs="Arial"/>
                <w:sz w:val="20"/>
                <w:szCs w:val="20"/>
                <w:lang w:val="en-GB"/>
              </w:rPr>
            </w:pPr>
          </w:p>
          <w:p w14:paraId="1AAB4548" w14:textId="294131E6" w:rsidR="001B4838" w:rsidRPr="009B39EC" w:rsidRDefault="00AF603C" w:rsidP="002C67CC">
            <w:pPr>
              <w:pStyle w:val="NoSpacing"/>
              <w:jc w:val="both"/>
              <w:rPr>
                <w:rFonts w:ascii="Arial" w:hAnsi="Arial" w:cs="Arial"/>
                <w:sz w:val="20"/>
                <w:szCs w:val="20"/>
                <w:lang w:val="en-GB"/>
              </w:rPr>
            </w:pPr>
            <w:r w:rsidRPr="009B39EC">
              <w:rPr>
                <w:rFonts w:ascii="Arial" w:hAnsi="Arial" w:cs="Arial"/>
                <w:sz w:val="20"/>
                <w:szCs w:val="20"/>
                <w:lang w:val="en-GB"/>
              </w:rPr>
              <w:t xml:space="preserve">In addition to </w:t>
            </w:r>
            <w:r w:rsidR="009B39EC" w:rsidRPr="009B39EC">
              <w:rPr>
                <w:rFonts w:ascii="Arial" w:hAnsi="Arial" w:cs="Arial"/>
                <w:sz w:val="20"/>
                <w:szCs w:val="20"/>
                <w:lang w:val="en-GB"/>
              </w:rPr>
              <w:t>all</w:t>
            </w:r>
            <w:r w:rsidRPr="009B39EC">
              <w:rPr>
                <w:rFonts w:ascii="Arial" w:hAnsi="Arial" w:cs="Arial"/>
                <w:sz w:val="20"/>
                <w:szCs w:val="20"/>
                <w:lang w:val="en-GB"/>
              </w:rPr>
              <w:t xml:space="preserve"> the above </w:t>
            </w:r>
            <w:r w:rsidR="00794186" w:rsidRPr="009B39EC">
              <w:rPr>
                <w:rFonts w:ascii="Arial" w:hAnsi="Arial" w:cs="Arial"/>
                <w:sz w:val="20"/>
                <w:szCs w:val="20"/>
                <w:lang w:val="en-GB"/>
              </w:rPr>
              <w:t xml:space="preserve">being incorporated </w:t>
            </w:r>
            <w:r w:rsidRPr="009B39EC">
              <w:rPr>
                <w:rFonts w:ascii="Arial" w:hAnsi="Arial" w:cs="Arial"/>
                <w:sz w:val="20"/>
                <w:szCs w:val="20"/>
                <w:lang w:val="en-GB"/>
              </w:rPr>
              <w:t xml:space="preserve">in the legal framework and the </w:t>
            </w:r>
            <w:r w:rsidR="00794186" w:rsidRPr="009B39EC">
              <w:rPr>
                <w:rFonts w:ascii="Arial" w:hAnsi="Arial" w:cs="Arial"/>
                <w:sz w:val="20"/>
                <w:szCs w:val="20"/>
                <w:lang w:val="en-GB"/>
              </w:rPr>
              <w:t xml:space="preserve">respective legislative </w:t>
            </w:r>
            <w:r w:rsidRPr="009B39EC">
              <w:rPr>
                <w:rFonts w:ascii="Arial" w:hAnsi="Arial" w:cs="Arial"/>
                <w:sz w:val="20"/>
                <w:szCs w:val="20"/>
                <w:lang w:val="en-GB"/>
              </w:rPr>
              <w:t xml:space="preserve">updates, these </w:t>
            </w:r>
            <w:r w:rsidR="00B746AF" w:rsidRPr="009B39EC">
              <w:rPr>
                <w:rFonts w:ascii="Arial" w:hAnsi="Arial" w:cs="Arial"/>
                <w:sz w:val="20"/>
                <w:szCs w:val="20"/>
                <w:lang w:val="en-GB"/>
              </w:rPr>
              <w:t xml:space="preserve">fundamental </w:t>
            </w:r>
            <w:r w:rsidRPr="009B39EC">
              <w:rPr>
                <w:rFonts w:ascii="Arial" w:hAnsi="Arial" w:cs="Arial"/>
                <w:sz w:val="20"/>
                <w:szCs w:val="20"/>
                <w:lang w:val="en-GB"/>
              </w:rPr>
              <w:t xml:space="preserve">principles are </w:t>
            </w:r>
            <w:r w:rsidR="00B746AF" w:rsidRPr="009B39EC">
              <w:rPr>
                <w:rFonts w:ascii="Arial" w:hAnsi="Arial" w:cs="Arial"/>
                <w:sz w:val="20"/>
                <w:szCs w:val="20"/>
                <w:lang w:val="en-GB"/>
              </w:rPr>
              <w:t xml:space="preserve">also enshrined </w:t>
            </w:r>
            <w:r w:rsidRPr="009B39EC">
              <w:rPr>
                <w:rFonts w:ascii="Arial" w:hAnsi="Arial" w:cs="Arial"/>
                <w:sz w:val="20"/>
                <w:szCs w:val="20"/>
                <w:lang w:val="en-GB"/>
              </w:rPr>
              <w:t>in the instruments developed for facilitati</w:t>
            </w:r>
            <w:r w:rsidR="00B746AF" w:rsidRPr="009B39EC">
              <w:rPr>
                <w:rFonts w:ascii="Arial" w:hAnsi="Arial" w:cs="Arial"/>
                <w:sz w:val="20"/>
                <w:szCs w:val="20"/>
                <w:lang w:val="en-GB"/>
              </w:rPr>
              <w:t xml:space="preserve">ng the implementation </w:t>
            </w:r>
            <w:r w:rsidRPr="009B39EC">
              <w:rPr>
                <w:rFonts w:ascii="Arial" w:hAnsi="Arial" w:cs="Arial"/>
                <w:sz w:val="20"/>
                <w:szCs w:val="20"/>
                <w:lang w:val="en-GB"/>
              </w:rPr>
              <w:t xml:space="preserve">of the legal framework in practice, </w:t>
            </w:r>
            <w:r w:rsidR="00B746AF" w:rsidRPr="009B39EC">
              <w:rPr>
                <w:rFonts w:ascii="Arial" w:hAnsi="Arial" w:cs="Arial"/>
                <w:sz w:val="20"/>
                <w:szCs w:val="20"/>
                <w:lang w:val="en-GB"/>
              </w:rPr>
              <w:t xml:space="preserve">including </w:t>
            </w:r>
            <w:r w:rsidR="009F172D" w:rsidRPr="009B39EC">
              <w:rPr>
                <w:rFonts w:ascii="Arial" w:hAnsi="Arial" w:cs="Arial"/>
                <w:sz w:val="20"/>
                <w:szCs w:val="20"/>
                <w:lang w:val="en-GB"/>
              </w:rPr>
              <w:t xml:space="preserve">the </w:t>
            </w:r>
            <w:r w:rsidRPr="009B39EC">
              <w:rPr>
                <w:rFonts w:ascii="Arial" w:hAnsi="Arial" w:cs="Arial"/>
                <w:sz w:val="20"/>
                <w:szCs w:val="20"/>
                <w:lang w:val="en-GB"/>
              </w:rPr>
              <w:t>protocols</w:t>
            </w:r>
            <w:r w:rsidR="00B746AF" w:rsidRPr="009B39EC">
              <w:rPr>
                <w:rFonts w:ascii="Arial" w:hAnsi="Arial" w:cs="Arial"/>
                <w:sz w:val="20"/>
                <w:szCs w:val="20"/>
                <w:lang w:val="en-GB"/>
              </w:rPr>
              <w:t xml:space="preserve"> on a coordinated multi-sectoral approach and </w:t>
            </w:r>
            <w:r w:rsidRPr="009B39EC">
              <w:rPr>
                <w:rFonts w:ascii="Arial" w:hAnsi="Arial" w:cs="Arial"/>
                <w:sz w:val="20"/>
                <w:szCs w:val="20"/>
                <w:lang w:val="en-GB"/>
              </w:rPr>
              <w:t xml:space="preserve">management of </w:t>
            </w:r>
            <w:r w:rsidR="00445CB5" w:rsidRPr="009B39EC">
              <w:rPr>
                <w:rFonts w:ascii="Arial" w:hAnsi="Arial" w:cs="Arial"/>
                <w:sz w:val="20"/>
                <w:szCs w:val="20"/>
                <w:lang w:val="en-GB"/>
              </w:rPr>
              <w:t>domestic</w:t>
            </w:r>
            <w:r w:rsidRPr="009B39EC">
              <w:rPr>
                <w:rFonts w:ascii="Arial" w:hAnsi="Arial" w:cs="Arial"/>
                <w:sz w:val="20"/>
                <w:szCs w:val="20"/>
                <w:lang w:val="en-GB"/>
              </w:rPr>
              <w:t xml:space="preserve"> violence cases</w:t>
            </w:r>
            <w:r w:rsidR="001B4838" w:rsidRPr="009B39EC">
              <w:rPr>
                <w:rFonts w:ascii="Arial" w:hAnsi="Arial" w:cs="Arial"/>
                <w:sz w:val="20"/>
                <w:szCs w:val="20"/>
                <w:lang w:val="en-GB"/>
              </w:rPr>
              <w:t>” (</w:t>
            </w:r>
            <w:r w:rsidR="009F172D" w:rsidRPr="009B39EC">
              <w:rPr>
                <w:rFonts w:ascii="Arial" w:hAnsi="Arial" w:cs="Arial"/>
                <w:sz w:val="20"/>
                <w:szCs w:val="20"/>
                <w:lang w:val="en-GB"/>
              </w:rPr>
              <w:t xml:space="preserve">which were developed in the course of </w:t>
            </w:r>
            <w:r w:rsidR="001B4838" w:rsidRPr="009B39EC">
              <w:rPr>
                <w:rFonts w:ascii="Arial" w:hAnsi="Arial" w:cs="Arial"/>
                <w:sz w:val="20"/>
                <w:szCs w:val="20"/>
                <w:lang w:val="en-GB"/>
              </w:rPr>
              <w:t xml:space="preserve">2020) </w:t>
            </w:r>
          </w:p>
        </w:tc>
      </w:tr>
      <w:tr w:rsidR="00F03CCA" w:rsidRPr="009B39EC" w14:paraId="3B8B3D4A" w14:textId="77777777" w:rsidTr="004860C4">
        <w:tc>
          <w:tcPr>
            <w:tcW w:w="216" w:type="pct"/>
          </w:tcPr>
          <w:p w14:paraId="4FAAEBBC"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lastRenderedPageBreak/>
              <w:t>22.2</w:t>
            </w:r>
          </w:p>
        </w:tc>
        <w:tc>
          <w:tcPr>
            <w:tcW w:w="4784" w:type="pct"/>
            <w:gridSpan w:val="3"/>
          </w:tcPr>
          <w:p w14:paraId="31B3CEF2" w14:textId="563573A1" w:rsidR="00F03CCA" w:rsidRPr="009B39EC" w:rsidRDefault="00047815" w:rsidP="00F03CCA">
            <w:pPr>
              <w:pStyle w:val="NoSpacing"/>
              <w:jc w:val="both"/>
              <w:rPr>
                <w:rFonts w:ascii="Arial" w:hAnsi="Arial" w:cs="Arial"/>
                <w:sz w:val="20"/>
                <w:szCs w:val="20"/>
                <w:lang w:val="en-GB"/>
              </w:rPr>
            </w:pPr>
            <w:r w:rsidRPr="009B39EC">
              <w:rPr>
                <w:rFonts w:ascii="Arial" w:hAnsi="Arial" w:cs="Arial"/>
                <w:sz w:val="20"/>
                <w:szCs w:val="20"/>
                <w:lang w:val="en-GB"/>
              </w:rPr>
              <w:t>If yes, please specify how the above obligation is implemented in practice, including by providing data indicating to what extent judicial authorities consider all issues related to violence against women in their decisions on custody and visitation rights</w:t>
            </w:r>
            <w:r w:rsidR="001B4838" w:rsidRPr="009B39EC">
              <w:rPr>
                <w:rFonts w:ascii="Arial" w:hAnsi="Arial" w:cs="Arial"/>
                <w:sz w:val="20"/>
                <w:szCs w:val="20"/>
                <w:lang w:val="en-GB"/>
              </w:rPr>
              <w:t>.</w:t>
            </w:r>
          </w:p>
          <w:p w14:paraId="3B9272CF" w14:textId="73DAA327" w:rsidR="001B4838" w:rsidRPr="009B39EC" w:rsidRDefault="001B4838" w:rsidP="00F03CCA">
            <w:pPr>
              <w:pStyle w:val="NoSpacing"/>
              <w:jc w:val="both"/>
              <w:rPr>
                <w:rFonts w:ascii="Arial" w:hAnsi="Arial" w:cs="Arial"/>
                <w:sz w:val="20"/>
                <w:szCs w:val="20"/>
                <w:lang w:val="en-GB"/>
              </w:rPr>
            </w:pPr>
          </w:p>
          <w:p w14:paraId="25B215D1" w14:textId="121703C0" w:rsidR="001B4838" w:rsidRPr="009B39EC" w:rsidRDefault="009F172D" w:rsidP="00F03CCA">
            <w:pPr>
              <w:pStyle w:val="NoSpacing"/>
              <w:jc w:val="both"/>
              <w:rPr>
                <w:rFonts w:ascii="Arial" w:hAnsi="Arial" w:cs="Arial"/>
                <w:sz w:val="20"/>
                <w:szCs w:val="20"/>
                <w:lang w:val="en-GB"/>
              </w:rPr>
            </w:pPr>
            <w:r w:rsidRPr="009B39EC">
              <w:rPr>
                <w:rFonts w:ascii="Arial" w:hAnsi="Arial" w:cs="Arial"/>
                <w:sz w:val="20"/>
                <w:szCs w:val="20"/>
                <w:lang w:val="en-GB"/>
              </w:rPr>
              <w:t>The above obligation is implemented in practice</w:t>
            </w:r>
            <w:r w:rsidR="00D12DC1" w:rsidRPr="009B39EC">
              <w:rPr>
                <w:rFonts w:ascii="Arial" w:hAnsi="Arial" w:cs="Arial"/>
                <w:sz w:val="20"/>
                <w:szCs w:val="20"/>
                <w:lang w:val="en-GB"/>
              </w:rPr>
              <w:t xml:space="preserve"> by the courts, based on the information </w:t>
            </w:r>
            <w:proofErr w:type="spellStart"/>
            <w:r w:rsidR="00D12DC1" w:rsidRPr="009B39EC">
              <w:rPr>
                <w:rFonts w:ascii="Arial" w:hAnsi="Arial" w:cs="Arial"/>
                <w:sz w:val="20"/>
                <w:szCs w:val="20"/>
                <w:lang w:val="en-GB"/>
              </w:rPr>
              <w:t>recevided</w:t>
            </w:r>
            <w:proofErr w:type="spellEnd"/>
            <w:r w:rsidR="00D12DC1" w:rsidRPr="009B39EC">
              <w:rPr>
                <w:rFonts w:ascii="Arial" w:hAnsi="Arial" w:cs="Arial"/>
                <w:sz w:val="20"/>
                <w:szCs w:val="20"/>
                <w:lang w:val="en-GB"/>
              </w:rPr>
              <w:t xml:space="preserve"> from different institutions, </w:t>
            </w:r>
            <w:r w:rsidR="00B746AF" w:rsidRPr="009B39EC">
              <w:rPr>
                <w:rFonts w:ascii="Arial" w:hAnsi="Arial" w:cs="Arial"/>
                <w:sz w:val="20"/>
                <w:szCs w:val="20"/>
                <w:lang w:val="en-GB"/>
              </w:rPr>
              <w:t xml:space="preserve">according to the respective roles assigned to them in </w:t>
            </w:r>
            <w:r w:rsidRPr="009B39EC">
              <w:rPr>
                <w:rFonts w:ascii="Arial" w:hAnsi="Arial" w:cs="Arial"/>
                <w:sz w:val="20"/>
                <w:szCs w:val="20"/>
                <w:lang w:val="en-GB"/>
              </w:rPr>
              <w:t>emergency intervention</w:t>
            </w:r>
            <w:r w:rsidR="00B746AF" w:rsidRPr="009B39EC">
              <w:rPr>
                <w:rFonts w:ascii="Arial" w:hAnsi="Arial" w:cs="Arial"/>
                <w:sz w:val="20"/>
                <w:szCs w:val="20"/>
                <w:lang w:val="en-GB"/>
              </w:rPr>
              <w:t>s</w:t>
            </w:r>
            <w:r w:rsidRPr="009B39EC">
              <w:rPr>
                <w:rFonts w:ascii="Arial" w:hAnsi="Arial" w:cs="Arial"/>
                <w:sz w:val="20"/>
                <w:szCs w:val="20"/>
                <w:lang w:val="en-GB"/>
              </w:rPr>
              <w:t xml:space="preserve">, </w:t>
            </w:r>
            <w:r w:rsidR="00B746AF" w:rsidRPr="009B39EC">
              <w:rPr>
                <w:rFonts w:ascii="Arial" w:hAnsi="Arial" w:cs="Arial"/>
                <w:sz w:val="20"/>
                <w:szCs w:val="20"/>
                <w:lang w:val="en-GB"/>
              </w:rPr>
              <w:t xml:space="preserve">in the framework of the </w:t>
            </w:r>
            <w:r w:rsidRPr="009B39EC">
              <w:rPr>
                <w:rFonts w:ascii="Arial" w:hAnsi="Arial" w:cs="Arial"/>
                <w:sz w:val="20"/>
                <w:szCs w:val="20"/>
                <w:lang w:val="en-GB"/>
              </w:rPr>
              <w:t>Technical Interdisciplinary Core Team</w:t>
            </w:r>
            <w:r w:rsidR="00D12DC1" w:rsidRPr="009B39EC">
              <w:rPr>
                <w:rFonts w:ascii="Arial" w:hAnsi="Arial" w:cs="Arial"/>
                <w:sz w:val="20"/>
                <w:szCs w:val="20"/>
                <w:lang w:val="en-GB"/>
              </w:rPr>
              <w:t xml:space="preserve"> of the </w:t>
            </w:r>
            <w:r w:rsidR="00236CF3" w:rsidRPr="009B39EC">
              <w:rPr>
                <w:rFonts w:ascii="Arial" w:hAnsi="Arial" w:cs="Arial"/>
                <w:sz w:val="20"/>
                <w:szCs w:val="20"/>
                <w:lang w:val="en-GB"/>
              </w:rPr>
              <w:t xml:space="preserve">Coordinated </w:t>
            </w:r>
            <w:r w:rsidR="009B39EC" w:rsidRPr="009B39EC">
              <w:rPr>
                <w:rFonts w:ascii="Arial" w:hAnsi="Arial" w:cs="Arial"/>
                <w:sz w:val="20"/>
                <w:szCs w:val="20"/>
                <w:lang w:val="en-GB"/>
              </w:rPr>
              <w:t>Referral Mechanism</w:t>
            </w:r>
            <w:r w:rsidR="00236CF3" w:rsidRPr="009B39EC">
              <w:rPr>
                <w:rFonts w:ascii="Arial" w:hAnsi="Arial" w:cs="Arial"/>
                <w:sz w:val="20"/>
                <w:szCs w:val="20"/>
                <w:lang w:val="en-GB"/>
              </w:rPr>
              <w:t xml:space="preserve"> at the local level</w:t>
            </w:r>
            <w:r w:rsidR="001B4838" w:rsidRPr="009B39EC">
              <w:rPr>
                <w:rFonts w:ascii="Arial" w:hAnsi="Arial" w:cs="Arial"/>
                <w:sz w:val="20"/>
                <w:szCs w:val="20"/>
                <w:lang w:val="en-GB"/>
              </w:rPr>
              <w:t xml:space="preserve">. </w:t>
            </w:r>
            <w:r w:rsidRPr="009B39EC">
              <w:rPr>
                <w:rFonts w:ascii="Arial" w:hAnsi="Arial" w:cs="Arial"/>
                <w:sz w:val="20"/>
                <w:szCs w:val="20"/>
                <w:lang w:val="en-GB"/>
              </w:rPr>
              <w:t>These</w:t>
            </w:r>
            <w:r w:rsidR="00B746AF" w:rsidRPr="009B39EC">
              <w:rPr>
                <w:rFonts w:ascii="Arial" w:hAnsi="Arial" w:cs="Arial"/>
                <w:sz w:val="20"/>
                <w:szCs w:val="20"/>
                <w:lang w:val="en-GB"/>
              </w:rPr>
              <w:t xml:space="preserve"> actors</w:t>
            </w:r>
            <w:r w:rsidRPr="009B39EC">
              <w:rPr>
                <w:rFonts w:ascii="Arial" w:hAnsi="Arial" w:cs="Arial"/>
                <w:sz w:val="20"/>
                <w:szCs w:val="20"/>
                <w:lang w:val="en-GB"/>
              </w:rPr>
              <w:t xml:space="preserve"> include the local coordinator against domestic violence, the police, health care services, the state social service, and </w:t>
            </w:r>
            <w:r w:rsidR="00B746AF" w:rsidRPr="009B39EC">
              <w:rPr>
                <w:rFonts w:ascii="Arial" w:hAnsi="Arial" w:cs="Arial"/>
                <w:sz w:val="20"/>
                <w:szCs w:val="20"/>
                <w:lang w:val="en-GB"/>
              </w:rPr>
              <w:t xml:space="preserve">specialised </w:t>
            </w:r>
            <w:r w:rsidR="00627FD1" w:rsidRPr="009B39EC">
              <w:rPr>
                <w:rFonts w:ascii="Arial" w:hAnsi="Arial" w:cs="Arial"/>
                <w:sz w:val="20"/>
                <w:szCs w:val="20"/>
                <w:lang w:val="en-GB"/>
              </w:rPr>
              <w:t xml:space="preserve">CSOs </w:t>
            </w:r>
            <w:r w:rsidRPr="009B39EC">
              <w:rPr>
                <w:rFonts w:ascii="Arial" w:hAnsi="Arial" w:cs="Arial"/>
                <w:sz w:val="20"/>
                <w:szCs w:val="20"/>
                <w:lang w:val="en-GB"/>
              </w:rPr>
              <w:t>dealing with emergency cases</w:t>
            </w:r>
            <w:r w:rsidR="001B4838" w:rsidRPr="009B39EC">
              <w:rPr>
                <w:rFonts w:ascii="Arial" w:hAnsi="Arial" w:cs="Arial"/>
                <w:sz w:val="20"/>
                <w:szCs w:val="20"/>
                <w:lang w:val="en-GB"/>
              </w:rPr>
              <w:t>.</w:t>
            </w:r>
            <w:r w:rsidRPr="009B39EC">
              <w:rPr>
                <w:rFonts w:ascii="Arial" w:hAnsi="Arial" w:cs="Arial"/>
                <w:sz w:val="20"/>
                <w:szCs w:val="20"/>
                <w:lang w:val="en-GB"/>
              </w:rPr>
              <w:t xml:space="preserve"> From the moment </w:t>
            </w:r>
            <w:r w:rsidR="00781332" w:rsidRPr="009B39EC">
              <w:rPr>
                <w:rFonts w:ascii="Arial" w:hAnsi="Arial" w:cs="Arial"/>
                <w:sz w:val="20"/>
                <w:szCs w:val="20"/>
                <w:lang w:val="en-GB"/>
              </w:rPr>
              <w:t xml:space="preserve">a risk </w:t>
            </w:r>
            <w:r w:rsidR="00627FD1" w:rsidRPr="009B39EC">
              <w:rPr>
                <w:rFonts w:ascii="Arial" w:hAnsi="Arial" w:cs="Arial"/>
                <w:sz w:val="20"/>
                <w:szCs w:val="20"/>
                <w:lang w:val="en-GB"/>
              </w:rPr>
              <w:t xml:space="preserve">assessment </w:t>
            </w:r>
            <w:r w:rsidR="00B746AF" w:rsidRPr="009B39EC">
              <w:rPr>
                <w:rFonts w:ascii="Arial" w:hAnsi="Arial" w:cs="Arial"/>
                <w:sz w:val="20"/>
                <w:szCs w:val="20"/>
                <w:lang w:val="en-GB"/>
              </w:rPr>
              <w:t>is</w:t>
            </w:r>
            <w:r w:rsidR="00781332" w:rsidRPr="009B39EC">
              <w:rPr>
                <w:rFonts w:ascii="Arial" w:hAnsi="Arial" w:cs="Arial"/>
                <w:sz w:val="20"/>
                <w:szCs w:val="20"/>
                <w:lang w:val="en-GB"/>
              </w:rPr>
              <w:t xml:space="preserve"> </w:t>
            </w:r>
            <w:r w:rsidR="00846A69" w:rsidRPr="009B39EC">
              <w:rPr>
                <w:rFonts w:ascii="Arial" w:hAnsi="Arial" w:cs="Arial"/>
                <w:sz w:val="20"/>
                <w:szCs w:val="20"/>
                <w:lang w:val="en-GB"/>
              </w:rPr>
              <w:t>conducted,</w:t>
            </w:r>
            <w:r w:rsidR="00781332" w:rsidRPr="009B39EC">
              <w:rPr>
                <w:rFonts w:ascii="Arial" w:hAnsi="Arial" w:cs="Arial"/>
                <w:sz w:val="20"/>
                <w:szCs w:val="20"/>
                <w:lang w:val="en-GB"/>
              </w:rPr>
              <w:t xml:space="preserve"> and steps are taken for </w:t>
            </w:r>
            <w:r w:rsidR="009B39EC" w:rsidRPr="009B39EC">
              <w:rPr>
                <w:rFonts w:ascii="Arial" w:hAnsi="Arial" w:cs="Arial"/>
                <w:sz w:val="20"/>
                <w:szCs w:val="20"/>
                <w:lang w:val="en-GB"/>
              </w:rPr>
              <w:t>applying</w:t>
            </w:r>
            <w:r w:rsidR="00B746AF" w:rsidRPr="009B39EC">
              <w:rPr>
                <w:rFonts w:ascii="Arial" w:hAnsi="Arial" w:cs="Arial"/>
                <w:sz w:val="20"/>
                <w:szCs w:val="20"/>
                <w:lang w:val="en-GB"/>
              </w:rPr>
              <w:t xml:space="preserve"> for </w:t>
            </w:r>
            <w:r w:rsidR="00781332" w:rsidRPr="009B39EC">
              <w:rPr>
                <w:rFonts w:ascii="Arial" w:hAnsi="Arial" w:cs="Arial"/>
                <w:sz w:val="20"/>
                <w:szCs w:val="20"/>
                <w:lang w:val="en-GB"/>
              </w:rPr>
              <w:t xml:space="preserve">one of the emergency </w:t>
            </w:r>
            <w:r w:rsidR="00445CB5" w:rsidRPr="009B39EC">
              <w:rPr>
                <w:rFonts w:ascii="Arial" w:hAnsi="Arial" w:cs="Arial"/>
                <w:sz w:val="20"/>
                <w:szCs w:val="20"/>
                <w:lang w:val="en-GB"/>
              </w:rPr>
              <w:t>protections</w:t>
            </w:r>
            <w:r w:rsidR="00781332" w:rsidRPr="009B39EC">
              <w:rPr>
                <w:rFonts w:ascii="Arial" w:hAnsi="Arial" w:cs="Arial"/>
                <w:sz w:val="20"/>
                <w:szCs w:val="20"/>
                <w:lang w:val="en-GB"/>
              </w:rPr>
              <w:t xml:space="preserve"> measures (Order for Preliminary Protection Measures or</w:t>
            </w:r>
            <w:r w:rsidR="00823895" w:rsidRPr="009B39EC">
              <w:rPr>
                <w:rFonts w:ascii="Arial" w:hAnsi="Arial" w:cs="Arial"/>
                <w:sz w:val="20"/>
                <w:szCs w:val="20"/>
                <w:lang w:val="en-GB"/>
              </w:rPr>
              <w:t xml:space="preserve"> </w:t>
            </w:r>
            <w:r w:rsidR="003F0B9C" w:rsidRPr="009B39EC">
              <w:rPr>
                <w:rFonts w:ascii="Arial" w:hAnsi="Arial" w:cs="Arial"/>
                <w:sz w:val="20"/>
                <w:szCs w:val="20"/>
                <w:lang w:val="en-GB"/>
              </w:rPr>
              <w:t>E</w:t>
            </w:r>
            <w:r w:rsidR="00823895" w:rsidRPr="009B39EC">
              <w:rPr>
                <w:rFonts w:ascii="Arial" w:hAnsi="Arial" w:cs="Arial"/>
                <w:sz w:val="20"/>
                <w:szCs w:val="20"/>
                <w:lang w:val="en-GB"/>
              </w:rPr>
              <w:t xml:space="preserve">mergency </w:t>
            </w:r>
            <w:r w:rsidR="003F0B9C" w:rsidRPr="009B39EC">
              <w:rPr>
                <w:rFonts w:ascii="Arial" w:hAnsi="Arial" w:cs="Arial"/>
                <w:sz w:val="20"/>
                <w:szCs w:val="20"/>
                <w:lang w:val="en-GB"/>
              </w:rPr>
              <w:t>P</w:t>
            </w:r>
            <w:r w:rsidR="00823895" w:rsidRPr="009B39EC">
              <w:rPr>
                <w:rFonts w:ascii="Arial" w:hAnsi="Arial" w:cs="Arial"/>
                <w:sz w:val="20"/>
                <w:szCs w:val="20"/>
                <w:lang w:val="en-GB"/>
              </w:rPr>
              <w:t xml:space="preserve">rotection </w:t>
            </w:r>
            <w:r w:rsidR="00781332" w:rsidRPr="009B39EC">
              <w:rPr>
                <w:rFonts w:ascii="Arial" w:hAnsi="Arial" w:cs="Arial"/>
                <w:sz w:val="20"/>
                <w:szCs w:val="20"/>
                <w:lang w:val="en-GB"/>
              </w:rPr>
              <w:t>Order</w:t>
            </w:r>
            <w:r w:rsidR="001B4838" w:rsidRPr="009B39EC">
              <w:rPr>
                <w:rFonts w:ascii="Arial" w:hAnsi="Arial" w:cs="Arial"/>
                <w:sz w:val="20"/>
                <w:szCs w:val="20"/>
                <w:lang w:val="en-GB"/>
              </w:rPr>
              <w:t xml:space="preserve">), </w:t>
            </w:r>
            <w:r w:rsidR="00B746AF" w:rsidRPr="009B39EC">
              <w:rPr>
                <w:rFonts w:ascii="Arial" w:hAnsi="Arial" w:cs="Arial"/>
                <w:sz w:val="20"/>
                <w:szCs w:val="20"/>
                <w:lang w:val="en-GB"/>
              </w:rPr>
              <w:t xml:space="preserve">the paperwork for the application is prepared, including a </w:t>
            </w:r>
            <w:r w:rsidR="00781332" w:rsidRPr="009B39EC">
              <w:rPr>
                <w:rFonts w:ascii="Arial" w:hAnsi="Arial" w:cs="Arial"/>
                <w:sz w:val="20"/>
                <w:szCs w:val="20"/>
                <w:lang w:val="en-GB"/>
              </w:rPr>
              <w:t xml:space="preserve">description of the extent </w:t>
            </w:r>
            <w:r w:rsidR="00B746AF" w:rsidRPr="009B39EC">
              <w:rPr>
                <w:rFonts w:ascii="Arial" w:hAnsi="Arial" w:cs="Arial"/>
                <w:sz w:val="20"/>
                <w:szCs w:val="20"/>
                <w:lang w:val="en-GB"/>
              </w:rPr>
              <w:t xml:space="preserve">to </w:t>
            </w:r>
            <w:r w:rsidR="00781332" w:rsidRPr="009B39EC">
              <w:rPr>
                <w:rFonts w:ascii="Arial" w:hAnsi="Arial" w:cs="Arial"/>
                <w:sz w:val="20"/>
                <w:szCs w:val="20"/>
                <w:lang w:val="en-GB"/>
              </w:rPr>
              <w:t xml:space="preserve">and </w:t>
            </w:r>
            <w:proofErr w:type="gramStart"/>
            <w:r w:rsidR="00781332" w:rsidRPr="009B39EC">
              <w:rPr>
                <w:rFonts w:ascii="Arial" w:hAnsi="Arial" w:cs="Arial"/>
                <w:sz w:val="20"/>
                <w:szCs w:val="20"/>
                <w:lang w:val="en-GB"/>
              </w:rPr>
              <w:t>manner in which</w:t>
            </w:r>
            <w:proofErr w:type="gramEnd"/>
            <w:r w:rsidR="00781332" w:rsidRPr="009B39EC">
              <w:rPr>
                <w:rFonts w:ascii="Arial" w:hAnsi="Arial" w:cs="Arial"/>
                <w:sz w:val="20"/>
                <w:szCs w:val="20"/>
                <w:lang w:val="en-GB"/>
              </w:rPr>
              <w:t xml:space="preserve"> the violence between parents has a bearing on the visitation rights and custody of the child</w:t>
            </w:r>
            <w:r w:rsidR="00BA3F8D" w:rsidRPr="009B39EC">
              <w:rPr>
                <w:rFonts w:ascii="Arial" w:hAnsi="Arial" w:cs="Arial"/>
                <w:sz w:val="20"/>
                <w:szCs w:val="20"/>
                <w:lang w:val="en-GB"/>
              </w:rPr>
              <w:t xml:space="preserve">. </w:t>
            </w:r>
            <w:r w:rsidR="00781332" w:rsidRPr="009B39EC">
              <w:rPr>
                <w:rFonts w:ascii="Arial" w:hAnsi="Arial" w:cs="Arial"/>
                <w:sz w:val="20"/>
                <w:szCs w:val="20"/>
                <w:lang w:val="en-GB"/>
              </w:rPr>
              <w:t xml:space="preserve">The measures </w:t>
            </w:r>
            <w:r w:rsidR="00B746AF" w:rsidRPr="009B39EC">
              <w:rPr>
                <w:rFonts w:ascii="Arial" w:hAnsi="Arial" w:cs="Arial"/>
                <w:sz w:val="20"/>
                <w:szCs w:val="20"/>
                <w:lang w:val="en-GB"/>
              </w:rPr>
              <w:t>i</w:t>
            </w:r>
            <w:r w:rsidR="00413282" w:rsidRPr="009B39EC">
              <w:rPr>
                <w:rFonts w:ascii="Arial" w:hAnsi="Arial" w:cs="Arial"/>
                <w:sz w:val="20"/>
                <w:szCs w:val="20"/>
                <w:lang w:val="en-GB"/>
              </w:rPr>
              <w:t>mposed</w:t>
            </w:r>
            <w:r w:rsidR="00B746AF" w:rsidRPr="009B39EC">
              <w:rPr>
                <w:rFonts w:ascii="Arial" w:hAnsi="Arial" w:cs="Arial"/>
                <w:sz w:val="20"/>
                <w:szCs w:val="20"/>
                <w:lang w:val="en-GB"/>
              </w:rPr>
              <w:t xml:space="preserve"> </w:t>
            </w:r>
            <w:r w:rsidR="00781332" w:rsidRPr="009B39EC">
              <w:rPr>
                <w:rFonts w:ascii="Arial" w:hAnsi="Arial" w:cs="Arial"/>
                <w:sz w:val="20"/>
                <w:szCs w:val="20"/>
                <w:lang w:val="en-GB"/>
              </w:rPr>
              <w:t>subsequently are based on this description. In the application for an</w:t>
            </w:r>
            <w:r w:rsidR="00823895" w:rsidRPr="009B39EC">
              <w:rPr>
                <w:rFonts w:ascii="Arial" w:hAnsi="Arial" w:cs="Arial"/>
                <w:sz w:val="20"/>
                <w:szCs w:val="20"/>
                <w:lang w:val="en-GB"/>
              </w:rPr>
              <w:t xml:space="preserve"> emergency protection </w:t>
            </w:r>
            <w:r w:rsidR="00781332" w:rsidRPr="009B39EC">
              <w:rPr>
                <w:rFonts w:ascii="Arial" w:hAnsi="Arial" w:cs="Arial"/>
                <w:sz w:val="20"/>
                <w:szCs w:val="20"/>
                <w:lang w:val="en-GB"/>
              </w:rPr>
              <w:t>order pursuant to Article 10, paragraph (j)</w:t>
            </w:r>
            <w:r w:rsidR="00BA3F8D" w:rsidRPr="009B39EC">
              <w:rPr>
                <w:rFonts w:ascii="Arial" w:hAnsi="Arial" w:cs="Arial"/>
                <w:sz w:val="20"/>
                <w:szCs w:val="20"/>
                <w:lang w:val="en-GB"/>
              </w:rPr>
              <w:t xml:space="preserve">, </w:t>
            </w:r>
            <w:r w:rsidR="00413282" w:rsidRPr="009B39EC">
              <w:rPr>
                <w:rFonts w:ascii="Arial" w:hAnsi="Arial" w:cs="Arial"/>
                <w:sz w:val="20"/>
                <w:szCs w:val="20"/>
                <w:lang w:val="en-GB"/>
              </w:rPr>
              <w:t>among the measures considered are</w:t>
            </w:r>
            <w:r w:rsidR="00BA3F8D" w:rsidRPr="009B39EC">
              <w:rPr>
                <w:rFonts w:ascii="Arial" w:hAnsi="Arial" w:cs="Arial"/>
                <w:sz w:val="20"/>
                <w:szCs w:val="20"/>
                <w:lang w:val="en-GB"/>
              </w:rPr>
              <w:t xml:space="preserve"> </w:t>
            </w:r>
            <w:r w:rsidR="001103A6" w:rsidRPr="009B39EC">
              <w:rPr>
                <w:rFonts w:ascii="Arial" w:hAnsi="Arial" w:cs="Arial"/>
                <w:b/>
                <w:bCs/>
                <w:i/>
                <w:iCs/>
                <w:sz w:val="20"/>
                <w:szCs w:val="20"/>
                <w:lang w:val="en-GB"/>
              </w:rPr>
              <w:t>temporarily depriving the perpetrator of their parental rights or where applicable, of child custody rights</w:t>
            </w:r>
            <w:r w:rsidR="00BA3F8D" w:rsidRPr="009B39EC">
              <w:rPr>
                <w:rFonts w:ascii="Arial" w:hAnsi="Arial" w:cs="Arial"/>
                <w:sz w:val="20"/>
                <w:szCs w:val="20"/>
                <w:lang w:val="en-GB"/>
              </w:rPr>
              <w:t xml:space="preserve">, </w:t>
            </w:r>
            <w:r w:rsidR="001103A6" w:rsidRPr="009B39EC">
              <w:rPr>
                <w:rFonts w:ascii="Arial" w:hAnsi="Arial" w:cs="Arial"/>
                <w:sz w:val="20"/>
                <w:szCs w:val="20"/>
                <w:lang w:val="en-GB"/>
              </w:rPr>
              <w:t>guardianship over a</w:t>
            </w:r>
            <w:r w:rsidR="00627FD1" w:rsidRPr="009B39EC">
              <w:rPr>
                <w:rFonts w:ascii="Arial" w:hAnsi="Arial" w:cs="Arial"/>
                <w:sz w:val="20"/>
                <w:szCs w:val="20"/>
                <w:lang w:val="en-GB"/>
              </w:rPr>
              <w:t xml:space="preserve"> person with </w:t>
            </w:r>
            <w:proofErr w:type="spellStart"/>
            <w:r w:rsidR="00627FD1" w:rsidRPr="009B39EC">
              <w:rPr>
                <w:rFonts w:ascii="Arial" w:hAnsi="Arial" w:cs="Arial"/>
                <w:sz w:val="20"/>
                <w:szCs w:val="20"/>
                <w:lang w:val="en-GB"/>
              </w:rPr>
              <w:t>disabities</w:t>
            </w:r>
            <w:proofErr w:type="spellEnd"/>
            <w:r w:rsidR="00BA3F8D" w:rsidRPr="009B39EC">
              <w:rPr>
                <w:rFonts w:ascii="Arial" w:hAnsi="Arial" w:cs="Arial"/>
                <w:sz w:val="20"/>
                <w:szCs w:val="20"/>
                <w:lang w:val="en-GB"/>
              </w:rPr>
              <w:t xml:space="preserve">. </w:t>
            </w:r>
            <w:r w:rsidR="001103A6" w:rsidRPr="009B39EC">
              <w:rPr>
                <w:rFonts w:ascii="Arial" w:hAnsi="Arial" w:cs="Arial"/>
                <w:sz w:val="20"/>
                <w:szCs w:val="20"/>
                <w:lang w:val="en-GB"/>
              </w:rPr>
              <w:t xml:space="preserve">Where the judicial authorities decide to remove parental responsibility from both parents, or a single parent, </w:t>
            </w:r>
            <w:r w:rsidR="00413282" w:rsidRPr="009B39EC">
              <w:rPr>
                <w:rFonts w:ascii="Arial" w:hAnsi="Arial" w:cs="Arial"/>
                <w:sz w:val="20"/>
                <w:szCs w:val="20"/>
                <w:lang w:val="en-GB"/>
              </w:rPr>
              <w:t>the child is placed</w:t>
            </w:r>
            <w:r w:rsidR="001103A6" w:rsidRPr="009B39EC">
              <w:rPr>
                <w:rFonts w:ascii="Arial" w:hAnsi="Arial" w:cs="Arial"/>
                <w:sz w:val="20"/>
                <w:szCs w:val="20"/>
                <w:lang w:val="en-GB"/>
              </w:rPr>
              <w:t xml:space="preserve"> in temporary custody pursuant to the </w:t>
            </w:r>
            <w:r w:rsidR="00413282" w:rsidRPr="009B39EC">
              <w:rPr>
                <w:rFonts w:ascii="Arial" w:hAnsi="Arial" w:cs="Arial"/>
                <w:sz w:val="20"/>
                <w:szCs w:val="20"/>
                <w:lang w:val="en-GB"/>
              </w:rPr>
              <w:t>provisions of the</w:t>
            </w:r>
            <w:r w:rsidR="001103A6" w:rsidRPr="009B39EC">
              <w:rPr>
                <w:rFonts w:ascii="Arial" w:hAnsi="Arial" w:cs="Arial"/>
                <w:sz w:val="20"/>
                <w:szCs w:val="20"/>
                <w:lang w:val="en-GB"/>
              </w:rPr>
              <w:t xml:space="preserve"> Family Code and the procedural law in force</w:t>
            </w:r>
            <w:r w:rsidR="00BA3F8D" w:rsidRPr="009B39EC">
              <w:rPr>
                <w:rFonts w:ascii="Arial" w:hAnsi="Arial" w:cs="Arial"/>
                <w:sz w:val="20"/>
                <w:szCs w:val="20"/>
                <w:lang w:val="en-GB"/>
              </w:rPr>
              <w:t xml:space="preserve">. </w:t>
            </w:r>
          </w:p>
          <w:p w14:paraId="2215DB4F" w14:textId="5A16E66B" w:rsidR="001B4838" w:rsidRPr="009B39EC" w:rsidRDefault="001B4838" w:rsidP="00F03CCA">
            <w:pPr>
              <w:pStyle w:val="NoSpacing"/>
              <w:jc w:val="both"/>
              <w:rPr>
                <w:rFonts w:ascii="Arial" w:hAnsi="Arial" w:cs="Arial"/>
                <w:sz w:val="20"/>
                <w:szCs w:val="20"/>
                <w:lang w:val="en-GB"/>
              </w:rPr>
            </w:pPr>
          </w:p>
        </w:tc>
      </w:tr>
      <w:tr w:rsidR="00F03CCA" w:rsidRPr="009B39EC" w14:paraId="22FA774B" w14:textId="77777777" w:rsidTr="004860C4">
        <w:tc>
          <w:tcPr>
            <w:tcW w:w="216" w:type="pct"/>
          </w:tcPr>
          <w:p w14:paraId="67BB26AF"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22.3</w:t>
            </w:r>
          </w:p>
        </w:tc>
        <w:tc>
          <w:tcPr>
            <w:tcW w:w="4784" w:type="pct"/>
            <w:gridSpan w:val="3"/>
          </w:tcPr>
          <w:p w14:paraId="76702853" w14:textId="5C1BE965" w:rsidR="001D4A16" w:rsidRPr="009B39EC" w:rsidRDefault="00047815" w:rsidP="001D4A16">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1D4A16" w:rsidRPr="009B39EC">
              <w:rPr>
                <w:rFonts w:ascii="Arial" w:hAnsi="Arial" w:cs="Arial"/>
                <w:sz w:val="20"/>
                <w:szCs w:val="20"/>
                <w:lang w:val="en-GB"/>
              </w:rPr>
              <w:t>:</w:t>
            </w:r>
          </w:p>
          <w:p w14:paraId="3D55E337" w14:textId="77777777" w:rsidR="00F03CCA" w:rsidRPr="009B39EC" w:rsidRDefault="00F03CCA" w:rsidP="00F03CCA">
            <w:pPr>
              <w:pStyle w:val="NoSpacing"/>
              <w:jc w:val="both"/>
              <w:rPr>
                <w:rFonts w:ascii="Arial" w:hAnsi="Arial" w:cs="Arial"/>
                <w:sz w:val="20"/>
                <w:szCs w:val="20"/>
                <w:lang w:val="en-GB"/>
              </w:rPr>
            </w:pPr>
          </w:p>
        </w:tc>
      </w:tr>
      <w:tr w:rsidR="00F03CCA" w:rsidRPr="009B39EC" w14:paraId="41483A75" w14:textId="77777777" w:rsidTr="00047815">
        <w:tc>
          <w:tcPr>
            <w:tcW w:w="216" w:type="pct"/>
          </w:tcPr>
          <w:p w14:paraId="7DBF4891"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23</w:t>
            </w:r>
          </w:p>
        </w:tc>
        <w:tc>
          <w:tcPr>
            <w:tcW w:w="3497" w:type="pct"/>
          </w:tcPr>
          <w:p w14:paraId="4821B61C" w14:textId="0913F977" w:rsidR="00B66789" w:rsidRPr="009B39EC" w:rsidRDefault="00047815" w:rsidP="00F03CCA">
            <w:pPr>
              <w:pStyle w:val="NoSpacing"/>
              <w:jc w:val="both"/>
              <w:rPr>
                <w:rFonts w:ascii="Arial" w:hAnsi="Arial" w:cs="Arial"/>
                <w:sz w:val="20"/>
                <w:szCs w:val="20"/>
                <w:lang w:val="en-GB"/>
              </w:rPr>
            </w:pPr>
            <w:r w:rsidRPr="009B39EC">
              <w:rPr>
                <w:rFonts w:ascii="Arial" w:hAnsi="Arial" w:cs="Arial"/>
                <w:sz w:val="20"/>
                <w:szCs w:val="20"/>
                <w:lang w:val="en-GB"/>
              </w:rPr>
              <w:t>Have your authorities taken measures contributing to ensure that visitation rights do not jeopardise the rights and safety of the victim or children</w:t>
            </w:r>
            <w:r w:rsidR="001D4A16" w:rsidRPr="009B39EC">
              <w:rPr>
                <w:rFonts w:ascii="Arial" w:hAnsi="Arial" w:cs="Arial"/>
                <w:sz w:val="20"/>
                <w:szCs w:val="20"/>
                <w:lang w:val="en-GB"/>
              </w:rPr>
              <w:t>?</w:t>
            </w:r>
          </w:p>
        </w:tc>
        <w:tc>
          <w:tcPr>
            <w:tcW w:w="800" w:type="pct"/>
          </w:tcPr>
          <w:p w14:paraId="50541C26" w14:textId="1DD519B7" w:rsidR="00F03CCA" w:rsidRPr="009B39EC" w:rsidRDefault="00A65624" w:rsidP="00F03CCA">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363637981"/>
                <w14:checkbox>
                  <w14:checked w14:val="1"/>
                  <w14:checkedState w14:val="2612" w14:font="MS Gothic"/>
                  <w14:uncheckedState w14:val="2610" w14:font="MS Gothic"/>
                </w14:checkbox>
              </w:sdtPr>
              <w:sdtEndPr/>
              <w:sdtContent>
                <w:r w:rsidR="00B66789" w:rsidRPr="009B39EC">
                  <w:rPr>
                    <w:rFonts w:ascii="Segoe UI Symbol" w:eastAsia="MS Gothic" w:hAnsi="Segoe UI Symbol" w:cs="Segoe UI Symbol"/>
                    <w:sz w:val="20"/>
                    <w:szCs w:val="20"/>
                    <w:lang w:val="en-GB"/>
                  </w:rPr>
                  <w:t>☒</w:t>
                </w:r>
              </w:sdtContent>
            </w:sdt>
          </w:p>
        </w:tc>
        <w:tc>
          <w:tcPr>
            <w:tcW w:w="487" w:type="pct"/>
          </w:tcPr>
          <w:p w14:paraId="45C8BEB0" w14:textId="0243AD30" w:rsidR="00F03CCA" w:rsidRPr="009B39EC" w:rsidRDefault="00A65624" w:rsidP="00F03CCA">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83197289"/>
                <w14:checkbox>
                  <w14:checked w14:val="0"/>
                  <w14:checkedState w14:val="2612" w14:font="MS Gothic"/>
                  <w14:uncheckedState w14:val="2610" w14:font="MS Gothic"/>
                </w14:checkbox>
              </w:sdtPr>
              <w:sdtEndPr/>
              <w:sdtContent>
                <w:r w:rsidR="00F03CCA" w:rsidRPr="009B39EC">
                  <w:rPr>
                    <w:rFonts w:ascii="Segoe UI Symbol" w:eastAsia="MS Gothic" w:hAnsi="Segoe UI Symbol" w:cs="Segoe UI Symbol"/>
                    <w:sz w:val="20"/>
                    <w:szCs w:val="20"/>
                    <w:lang w:val="en-GB"/>
                  </w:rPr>
                  <w:t>☐</w:t>
                </w:r>
              </w:sdtContent>
            </w:sdt>
          </w:p>
        </w:tc>
      </w:tr>
      <w:tr w:rsidR="00F03CCA" w:rsidRPr="009B39EC" w14:paraId="2BBDB5F7" w14:textId="77777777" w:rsidTr="004860C4">
        <w:tc>
          <w:tcPr>
            <w:tcW w:w="216" w:type="pct"/>
          </w:tcPr>
          <w:p w14:paraId="0AF77027"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23.1</w:t>
            </w:r>
          </w:p>
        </w:tc>
        <w:tc>
          <w:tcPr>
            <w:tcW w:w="4784" w:type="pct"/>
            <w:gridSpan w:val="3"/>
          </w:tcPr>
          <w:p w14:paraId="21964986" w14:textId="45AE353F" w:rsidR="00F03CCA" w:rsidRPr="009B39EC" w:rsidRDefault="002A16E9" w:rsidP="00F03CCA">
            <w:pPr>
              <w:jc w:val="both"/>
              <w:rPr>
                <w:rFonts w:ascii="Arial" w:hAnsi="Arial" w:cs="Arial"/>
                <w:sz w:val="20"/>
                <w:szCs w:val="20"/>
                <w:lang w:val="en-GB"/>
              </w:rPr>
            </w:pPr>
            <w:r w:rsidRPr="009B39EC">
              <w:rPr>
                <w:rFonts w:ascii="Arial" w:hAnsi="Arial" w:cs="Arial"/>
                <w:sz w:val="20"/>
                <w:szCs w:val="20"/>
                <w:lang w:val="en-GB"/>
              </w:rPr>
              <w:t>If yes, please specify</w:t>
            </w:r>
            <w:r w:rsidR="001D4A16" w:rsidRPr="009B39EC">
              <w:rPr>
                <w:rFonts w:ascii="Arial" w:hAnsi="Arial" w:cs="Arial"/>
                <w:sz w:val="20"/>
                <w:szCs w:val="20"/>
                <w:lang w:val="en-GB"/>
              </w:rPr>
              <w:t>:</w:t>
            </w:r>
          </w:p>
          <w:p w14:paraId="43CE096B" w14:textId="524C36D8" w:rsidR="00B66789" w:rsidRPr="009B39EC" w:rsidRDefault="00B66789" w:rsidP="00F03CCA">
            <w:pPr>
              <w:jc w:val="both"/>
              <w:rPr>
                <w:rFonts w:ascii="Arial" w:hAnsi="Arial" w:cs="Arial"/>
                <w:sz w:val="20"/>
                <w:szCs w:val="20"/>
                <w:lang w:val="en-GB"/>
              </w:rPr>
            </w:pPr>
          </w:p>
          <w:p w14:paraId="0944B418" w14:textId="491E8C13" w:rsidR="001D4A16" w:rsidRPr="009B39EC" w:rsidRDefault="001103A6" w:rsidP="00F03CCA">
            <w:pPr>
              <w:jc w:val="both"/>
              <w:rPr>
                <w:rFonts w:ascii="Arial" w:hAnsi="Arial" w:cs="Arial"/>
                <w:sz w:val="20"/>
                <w:szCs w:val="20"/>
                <w:lang w:val="en-GB"/>
              </w:rPr>
            </w:pPr>
            <w:r w:rsidRPr="009B39EC">
              <w:rPr>
                <w:rFonts w:ascii="Arial" w:hAnsi="Arial" w:cs="Arial"/>
                <w:sz w:val="20"/>
                <w:szCs w:val="20"/>
                <w:lang w:val="en-GB"/>
              </w:rPr>
              <w:t xml:space="preserve">As set out in the protocol for the management of domestic violence cases </w:t>
            </w:r>
            <w:r w:rsidR="0080741F" w:rsidRPr="009B39EC">
              <w:rPr>
                <w:rFonts w:ascii="Arial" w:hAnsi="Arial" w:cs="Arial"/>
                <w:sz w:val="20"/>
                <w:szCs w:val="20"/>
                <w:lang w:val="en-GB"/>
              </w:rPr>
              <w:t>using</w:t>
            </w:r>
            <w:r w:rsidRPr="009B39EC">
              <w:rPr>
                <w:rFonts w:ascii="Arial" w:hAnsi="Arial" w:cs="Arial"/>
                <w:sz w:val="20"/>
                <w:szCs w:val="20"/>
                <w:lang w:val="en-GB"/>
              </w:rPr>
              <w:t xml:space="preserve"> a coordinated multi-sectoral approach</w:t>
            </w:r>
            <w:r w:rsidR="00B66789" w:rsidRPr="009B39EC">
              <w:rPr>
                <w:rFonts w:ascii="Arial" w:hAnsi="Arial" w:cs="Arial"/>
                <w:sz w:val="20"/>
                <w:szCs w:val="20"/>
                <w:lang w:val="en-GB"/>
              </w:rPr>
              <w:t xml:space="preserve">, </w:t>
            </w:r>
            <w:r w:rsidRPr="009B39EC">
              <w:rPr>
                <w:rFonts w:ascii="Arial" w:hAnsi="Arial" w:cs="Arial"/>
                <w:sz w:val="20"/>
                <w:szCs w:val="20"/>
                <w:lang w:val="en-GB"/>
              </w:rPr>
              <w:t xml:space="preserve">the measures </w:t>
            </w:r>
            <w:r w:rsidR="00413282" w:rsidRPr="009B39EC">
              <w:rPr>
                <w:rFonts w:ascii="Arial" w:hAnsi="Arial" w:cs="Arial"/>
                <w:sz w:val="20"/>
                <w:szCs w:val="20"/>
                <w:lang w:val="en-GB"/>
              </w:rPr>
              <w:t>included in an</w:t>
            </w:r>
            <w:r w:rsidR="0080741F" w:rsidRPr="009B39EC">
              <w:rPr>
                <w:rFonts w:ascii="Arial" w:hAnsi="Arial" w:cs="Arial"/>
                <w:sz w:val="20"/>
                <w:szCs w:val="20"/>
                <w:lang w:val="en-GB"/>
              </w:rPr>
              <w:t xml:space="preserve"> Order for Preliminary Protection Measures,</w:t>
            </w:r>
            <w:r w:rsidR="00823895" w:rsidRPr="009B39EC">
              <w:rPr>
                <w:rFonts w:ascii="Arial" w:hAnsi="Arial" w:cs="Arial"/>
                <w:sz w:val="20"/>
                <w:szCs w:val="20"/>
                <w:lang w:val="en-GB"/>
              </w:rPr>
              <w:t xml:space="preserve"> </w:t>
            </w:r>
            <w:r w:rsidR="00413282" w:rsidRPr="009B39EC">
              <w:rPr>
                <w:rFonts w:ascii="Arial" w:hAnsi="Arial" w:cs="Arial"/>
                <w:sz w:val="20"/>
                <w:szCs w:val="20"/>
                <w:lang w:val="en-GB"/>
              </w:rPr>
              <w:t>E</w:t>
            </w:r>
            <w:r w:rsidR="00823895" w:rsidRPr="009B39EC">
              <w:rPr>
                <w:rFonts w:ascii="Arial" w:hAnsi="Arial" w:cs="Arial"/>
                <w:sz w:val="20"/>
                <w:szCs w:val="20"/>
                <w:lang w:val="en-GB"/>
              </w:rPr>
              <w:t xml:space="preserve">mergency </w:t>
            </w:r>
            <w:r w:rsidR="00413282" w:rsidRPr="009B39EC">
              <w:rPr>
                <w:rFonts w:ascii="Arial" w:hAnsi="Arial" w:cs="Arial"/>
                <w:sz w:val="20"/>
                <w:szCs w:val="20"/>
                <w:lang w:val="en-GB"/>
              </w:rPr>
              <w:t>P</w:t>
            </w:r>
            <w:r w:rsidR="00823895" w:rsidRPr="009B39EC">
              <w:rPr>
                <w:rFonts w:ascii="Arial" w:hAnsi="Arial" w:cs="Arial"/>
                <w:sz w:val="20"/>
                <w:szCs w:val="20"/>
                <w:lang w:val="en-GB"/>
              </w:rPr>
              <w:t xml:space="preserve">rotection </w:t>
            </w:r>
            <w:r w:rsidR="0080741F" w:rsidRPr="009B39EC">
              <w:rPr>
                <w:rFonts w:ascii="Arial" w:hAnsi="Arial" w:cs="Arial"/>
                <w:sz w:val="20"/>
                <w:szCs w:val="20"/>
                <w:lang w:val="en-GB"/>
              </w:rPr>
              <w:t xml:space="preserve">Order, or Protection Order </w:t>
            </w:r>
            <w:r w:rsidR="002B0327" w:rsidRPr="009B39EC">
              <w:rPr>
                <w:rFonts w:ascii="Arial" w:hAnsi="Arial" w:cs="Arial"/>
                <w:sz w:val="20"/>
                <w:szCs w:val="20"/>
                <w:lang w:val="en-GB"/>
              </w:rPr>
              <w:t>make clear reference to the full respect for rights and safety</w:t>
            </w:r>
            <w:r w:rsidR="00D928E6" w:rsidRPr="009B39EC">
              <w:rPr>
                <w:rFonts w:ascii="Arial" w:hAnsi="Arial" w:cs="Arial"/>
                <w:sz w:val="20"/>
                <w:szCs w:val="20"/>
                <w:lang w:val="en-GB"/>
              </w:rPr>
              <w:t xml:space="preserve"> of the victim or the children</w:t>
            </w:r>
            <w:r w:rsidR="002B0327" w:rsidRPr="009B39EC">
              <w:rPr>
                <w:rFonts w:ascii="Arial" w:hAnsi="Arial" w:cs="Arial"/>
                <w:sz w:val="20"/>
                <w:szCs w:val="20"/>
                <w:lang w:val="en-GB"/>
              </w:rPr>
              <w:t xml:space="preserve">. In addition, </w:t>
            </w:r>
            <w:r w:rsidR="009B39EC" w:rsidRPr="009B39EC">
              <w:rPr>
                <w:rFonts w:ascii="Arial" w:hAnsi="Arial" w:cs="Arial"/>
                <w:sz w:val="20"/>
                <w:szCs w:val="20"/>
                <w:lang w:val="en-GB"/>
              </w:rPr>
              <w:t>the functioning</w:t>
            </w:r>
            <w:r w:rsidR="00D928E6" w:rsidRPr="009B39EC">
              <w:rPr>
                <w:rFonts w:ascii="Arial" w:hAnsi="Arial" w:cs="Arial"/>
                <w:sz w:val="20"/>
                <w:szCs w:val="20"/>
                <w:lang w:val="en-GB"/>
              </w:rPr>
              <w:t xml:space="preserve"> of the </w:t>
            </w:r>
            <w:r w:rsidR="002B0327" w:rsidRPr="009B39EC">
              <w:rPr>
                <w:rFonts w:ascii="Arial" w:hAnsi="Arial" w:cs="Arial"/>
                <w:sz w:val="20"/>
                <w:szCs w:val="20"/>
                <w:lang w:val="en-GB"/>
              </w:rPr>
              <w:t>Coordinated Referral Mechanism in practice is based first and foremost on the principle of safety and protection of the victim and her children</w:t>
            </w:r>
            <w:r w:rsidR="00B66789" w:rsidRPr="009B39EC">
              <w:rPr>
                <w:rFonts w:ascii="Arial" w:hAnsi="Arial" w:cs="Arial"/>
                <w:sz w:val="20"/>
                <w:szCs w:val="20"/>
                <w:lang w:val="en-GB"/>
              </w:rPr>
              <w:t xml:space="preserve"> (</w:t>
            </w:r>
            <w:r w:rsidR="002B0327" w:rsidRPr="009B39EC">
              <w:rPr>
                <w:rFonts w:ascii="Arial" w:hAnsi="Arial" w:cs="Arial"/>
                <w:sz w:val="20"/>
                <w:szCs w:val="20"/>
                <w:lang w:val="en-GB"/>
              </w:rPr>
              <w:t>the main principle is</w:t>
            </w:r>
            <w:r w:rsidR="00B66789" w:rsidRPr="009B39EC">
              <w:rPr>
                <w:rFonts w:ascii="Arial" w:hAnsi="Arial" w:cs="Arial"/>
                <w:sz w:val="20"/>
                <w:szCs w:val="20"/>
                <w:lang w:val="en-GB"/>
              </w:rPr>
              <w:t xml:space="preserve"> “</w:t>
            </w:r>
            <w:r w:rsidR="002B0327" w:rsidRPr="009B39EC">
              <w:rPr>
                <w:rFonts w:ascii="Arial" w:hAnsi="Arial" w:cs="Arial"/>
                <w:sz w:val="20"/>
                <w:szCs w:val="20"/>
                <w:lang w:val="en-GB"/>
              </w:rPr>
              <w:t xml:space="preserve">Safety is </w:t>
            </w:r>
            <w:r w:rsidR="00D928E6" w:rsidRPr="009B39EC">
              <w:rPr>
                <w:rFonts w:ascii="Arial" w:hAnsi="Arial" w:cs="Arial"/>
                <w:sz w:val="20"/>
                <w:szCs w:val="20"/>
                <w:lang w:val="en-GB"/>
              </w:rPr>
              <w:t>essential</w:t>
            </w:r>
            <w:r w:rsidR="00B66789" w:rsidRPr="009B39EC">
              <w:rPr>
                <w:rFonts w:ascii="Arial" w:hAnsi="Arial" w:cs="Arial"/>
                <w:sz w:val="20"/>
                <w:szCs w:val="20"/>
                <w:lang w:val="en-GB"/>
              </w:rPr>
              <w:t xml:space="preserve">!”). </w:t>
            </w:r>
            <w:r w:rsidR="002B0327" w:rsidRPr="009B39EC">
              <w:rPr>
                <w:rFonts w:ascii="Arial" w:hAnsi="Arial" w:cs="Arial"/>
                <w:sz w:val="20"/>
                <w:szCs w:val="20"/>
                <w:lang w:val="en-GB"/>
              </w:rPr>
              <w:t xml:space="preserve">The measures </w:t>
            </w:r>
            <w:r w:rsidR="00D928E6" w:rsidRPr="009B39EC">
              <w:rPr>
                <w:rFonts w:ascii="Arial" w:hAnsi="Arial" w:cs="Arial"/>
                <w:sz w:val="20"/>
                <w:szCs w:val="20"/>
                <w:lang w:val="en-GB"/>
              </w:rPr>
              <w:t>imposed i</w:t>
            </w:r>
            <w:r w:rsidR="002B0327" w:rsidRPr="009B39EC">
              <w:rPr>
                <w:rFonts w:ascii="Arial" w:hAnsi="Arial" w:cs="Arial"/>
                <w:sz w:val="20"/>
                <w:szCs w:val="20"/>
                <w:lang w:val="en-GB"/>
              </w:rPr>
              <w:t>n this respect are based on the legislation in force</w:t>
            </w:r>
            <w:r w:rsidR="00B66789" w:rsidRPr="009B39EC">
              <w:rPr>
                <w:rFonts w:ascii="Arial" w:hAnsi="Arial" w:cs="Arial"/>
                <w:sz w:val="20"/>
                <w:szCs w:val="20"/>
                <w:lang w:val="en-GB"/>
              </w:rPr>
              <w:t>.</w:t>
            </w:r>
          </w:p>
        </w:tc>
      </w:tr>
      <w:tr w:rsidR="00F03CCA" w:rsidRPr="009B39EC" w14:paraId="75B60CEE" w14:textId="77777777" w:rsidTr="004860C4">
        <w:tc>
          <w:tcPr>
            <w:tcW w:w="216" w:type="pct"/>
          </w:tcPr>
          <w:p w14:paraId="27FA95E1"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23.2</w:t>
            </w:r>
          </w:p>
        </w:tc>
        <w:tc>
          <w:tcPr>
            <w:tcW w:w="4784" w:type="pct"/>
            <w:gridSpan w:val="3"/>
          </w:tcPr>
          <w:p w14:paraId="148D4789" w14:textId="6376E3FA" w:rsidR="001D4A16" w:rsidRPr="009B39EC" w:rsidRDefault="00047815" w:rsidP="001D4A16">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1D4A16" w:rsidRPr="009B39EC">
              <w:rPr>
                <w:rFonts w:ascii="Arial" w:hAnsi="Arial" w:cs="Arial"/>
                <w:sz w:val="20"/>
                <w:szCs w:val="20"/>
                <w:lang w:val="en-GB"/>
              </w:rPr>
              <w:t>:</w:t>
            </w:r>
          </w:p>
          <w:p w14:paraId="71B2DC30" w14:textId="77777777" w:rsidR="00F03CCA" w:rsidRPr="009B39EC" w:rsidRDefault="00F03CCA" w:rsidP="00F03CCA">
            <w:pPr>
              <w:pStyle w:val="NoSpacing"/>
              <w:jc w:val="both"/>
              <w:rPr>
                <w:rFonts w:ascii="Arial" w:hAnsi="Arial" w:cs="Arial"/>
                <w:sz w:val="20"/>
                <w:szCs w:val="20"/>
                <w:lang w:val="en-GB"/>
              </w:rPr>
            </w:pPr>
          </w:p>
        </w:tc>
      </w:tr>
      <w:tr w:rsidR="00F03CCA" w:rsidRPr="009B39EC" w14:paraId="0E9A4C59" w14:textId="77777777" w:rsidTr="004860C4">
        <w:tc>
          <w:tcPr>
            <w:tcW w:w="216" w:type="pct"/>
          </w:tcPr>
          <w:p w14:paraId="641AEB16"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24</w:t>
            </w:r>
          </w:p>
        </w:tc>
        <w:tc>
          <w:tcPr>
            <w:tcW w:w="4784" w:type="pct"/>
            <w:gridSpan w:val="3"/>
          </w:tcPr>
          <w:p w14:paraId="46CE68D8" w14:textId="77777777" w:rsidR="00F03CCA" w:rsidRPr="009B39EC" w:rsidRDefault="00047815" w:rsidP="00F03CCA">
            <w:pPr>
              <w:jc w:val="both"/>
              <w:rPr>
                <w:rFonts w:ascii="Arial" w:hAnsi="Arial" w:cs="Arial"/>
                <w:sz w:val="20"/>
                <w:szCs w:val="20"/>
                <w:lang w:val="en-GB"/>
              </w:rPr>
            </w:pPr>
            <w:r w:rsidRPr="009B39EC">
              <w:rPr>
                <w:rFonts w:ascii="Arial" w:hAnsi="Arial" w:cs="Arial"/>
                <w:sz w:val="20"/>
                <w:szCs w:val="20"/>
                <w:lang w:val="en-GB"/>
              </w:rPr>
              <w:t>In case your authorities have taken further measures contributing to the implementation of recommendations in relation to Article 31, which were not covered by the questions above, please report on these measures [word limit: 1000 words]</w:t>
            </w:r>
            <w:r w:rsidR="001D4A16" w:rsidRPr="009B39EC">
              <w:rPr>
                <w:rFonts w:ascii="Arial" w:hAnsi="Arial" w:cs="Arial"/>
                <w:sz w:val="20"/>
                <w:szCs w:val="20"/>
                <w:lang w:val="en-GB"/>
              </w:rPr>
              <w:t>:</w:t>
            </w:r>
          </w:p>
          <w:p w14:paraId="30BD858B" w14:textId="4918AB94" w:rsidR="00D12DC1" w:rsidRPr="009B39EC" w:rsidRDefault="00D12DC1" w:rsidP="00F03CCA">
            <w:pPr>
              <w:jc w:val="both"/>
              <w:rPr>
                <w:rFonts w:ascii="Arial" w:hAnsi="Arial" w:cs="Arial"/>
                <w:sz w:val="20"/>
                <w:szCs w:val="20"/>
                <w:lang w:val="en-GB"/>
              </w:rPr>
            </w:pPr>
            <w:r w:rsidRPr="009B39EC">
              <w:rPr>
                <w:rFonts w:ascii="Arial" w:hAnsi="Arial" w:cs="Arial"/>
                <w:sz w:val="20"/>
                <w:szCs w:val="20"/>
                <w:lang w:val="en-GB"/>
              </w:rPr>
              <w:lastRenderedPageBreak/>
              <w:t xml:space="preserve">Another GREVIO’s recommendation addressed to Albania in relation to Article 31 </w:t>
            </w:r>
            <w:r w:rsidR="006F28D2" w:rsidRPr="009B39EC">
              <w:rPr>
                <w:rFonts w:ascii="Arial" w:hAnsi="Arial" w:cs="Arial"/>
                <w:sz w:val="20"/>
                <w:szCs w:val="20"/>
                <w:lang w:val="en-GB"/>
              </w:rPr>
              <w:t>focuses on</w:t>
            </w:r>
            <w:r w:rsidRPr="009B39EC">
              <w:rPr>
                <w:rFonts w:ascii="Arial" w:hAnsi="Arial" w:cs="Arial"/>
                <w:sz w:val="20"/>
                <w:szCs w:val="20"/>
                <w:lang w:val="en-GB"/>
              </w:rPr>
              <w:t xml:space="preserve"> the monitoring of court</w:t>
            </w:r>
            <w:r w:rsidR="006F28D2" w:rsidRPr="009B39EC">
              <w:rPr>
                <w:rFonts w:ascii="Arial" w:hAnsi="Arial" w:cs="Arial"/>
                <w:sz w:val="20"/>
                <w:szCs w:val="20"/>
                <w:lang w:val="en-GB"/>
              </w:rPr>
              <w:t xml:space="preserve">s’ </w:t>
            </w:r>
            <w:r w:rsidRPr="009B39EC">
              <w:rPr>
                <w:rFonts w:ascii="Arial" w:hAnsi="Arial" w:cs="Arial"/>
                <w:sz w:val="20"/>
                <w:szCs w:val="20"/>
                <w:lang w:val="en-GB"/>
              </w:rPr>
              <w:t xml:space="preserve">practises in relation to the safety of the children. In the context of </w:t>
            </w:r>
            <w:r w:rsidR="00151C40" w:rsidRPr="009B39EC">
              <w:rPr>
                <w:rFonts w:ascii="Arial" w:hAnsi="Arial" w:cs="Arial"/>
                <w:sz w:val="20"/>
                <w:szCs w:val="20"/>
                <w:lang w:val="en-GB"/>
              </w:rPr>
              <w:t xml:space="preserve">ongoing </w:t>
            </w:r>
            <w:r w:rsidRPr="009B39EC">
              <w:rPr>
                <w:rFonts w:ascii="Arial" w:hAnsi="Arial" w:cs="Arial"/>
                <w:sz w:val="20"/>
                <w:szCs w:val="20"/>
                <w:lang w:val="en-GB"/>
              </w:rPr>
              <w:t xml:space="preserve">the </w:t>
            </w:r>
            <w:r w:rsidR="00151C40" w:rsidRPr="009B39EC">
              <w:rPr>
                <w:rFonts w:ascii="Arial" w:hAnsi="Arial" w:cs="Arial"/>
                <w:sz w:val="20"/>
                <w:szCs w:val="20"/>
                <w:lang w:val="en-GB"/>
              </w:rPr>
              <w:t xml:space="preserve">justice reform in Albania starting in 2016, and specifically based on the Law 115/2016 “On governing bodies of the justice system”, the High Inspectorate of Justice (HIJ) has been established. This institution </w:t>
            </w:r>
            <w:r w:rsidR="00151C40" w:rsidRPr="009B39EC">
              <w:rPr>
                <w:rFonts w:ascii="Arial" w:hAnsi="Arial" w:cs="Arial"/>
                <w:i/>
                <w:iCs/>
                <w:sz w:val="20"/>
                <w:szCs w:val="20"/>
                <w:lang w:val="en-GB"/>
              </w:rPr>
              <w:t>inter alia</w:t>
            </w:r>
            <w:r w:rsidR="00151C40" w:rsidRPr="009B39EC">
              <w:rPr>
                <w:rFonts w:ascii="Arial" w:hAnsi="Arial" w:cs="Arial"/>
                <w:sz w:val="20"/>
                <w:szCs w:val="20"/>
                <w:lang w:val="en-GB"/>
              </w:rPr>
              <w:t xml:space="preserve"> can undertake institutional and thematical inspections on every aspect of the courts’ practice. HIJ started to </w:t>
            </w:r>
            <w:proofErr w:type="spellStart"/>
            <w:r w:rsidR="00151C40" w:rsidRPr="009B39EC">
              <w:rPr>
                <w:rFonts w:ascii="Arial" w:hAnsi="Arial" w:cs="Arial"/>
                <w:sz w:val="20"/>
                <w:szCs w:val="20"/>
                <w:lang w:val="en-GB"/>
              </w:rPr>
              <w:t>exercide</w:t>
            </w:r>
            <w:proofErr w:type="spellEnd"/>
            <w:r w:rsidR="00151C40" w:rsidRPr="009B39EC">
              <w:rPr>
                <w:rFonts w:ascii="Arial" w:hAnsi="Arial" w:cs="Arial"/>
                <w:sz w:val="20"/>
                <w:szCs w:val="20"/>
                <w:lang w:val="en-GB"/>
              </w:rPr>
              <w:t xml:space="preserve"> its functions in January 2020. </w:t>
            </w:r>
          </w:p>
          <w:p w14:paraId="2898F275" w14:textId="783F87ED" w:rsidR="00D12DC1" w:rsidRPr="009B39EC" w:rsidRDefault="00D12DC1" w:rsidP="00F03CCA">
            <w:pPr>
              <w:jc w:val="both"/>
              <w:rPr>
                <w:rFonts w:ascii="Arial" w:hAnsi="Arial" w:cs="Arial"/>
                <w:sz w:val="20"/>
                <w:szCs w:val="20"/>
                <w:lang w:val="en-GB"/>
              </w:rPr>
            </w:pPr>
          </w:p>
        </w:tc>
      </w:tr>
      <w:tr w:rsidR="00F03CCA" w:rsidRPr="009B39EC" w14:paraId="18040A8B" w14:textId="77777777" w:rsidTr="004769AB">
        <w:tc>
          <w:tcPr>
            <w:tcW w:w="5000" w:type="pct"/>
            <w:gridSpan w:val="4"/>
            <w:shd w:val="clear" w:color="auto" w:fill="FBE4D5" w:themeFill="accent2" w:themeFillTint="33"/>
          </w:tcPr>
          <w:p w14:paraId="375D7952" w14:textId="74FED48A" w:rsidR="00F03CCA" w:rsidRPr="009B39EC" w:rsidRDefault="00047815" w:rsidP="001D4A16">
            <w:pPr>
              <w:pStyle w:val="ListParagraph"/>
              <w:numPr>
                <w:ilvl w:val="0"/>
                <w:numId w:val="3"/>
              </w:numPr>
              <w:jc w:val="both"/>
              <w:rPr>
                <w:rFonts w:ascii="Arial" w:hAnsi="Arial" w:cs="Arial"/>
                <w:sz w:val="20"/>
                <w:szCs w:val="20"/>
                <w:lang w:val="en-GB"/>
              </w:rPr>
            </w:pPr>
            <w:r w:rsidRPr="009B39EC">
              <w:rPr>
                <w:rFonts w:ascii="Arial" w:hAnsi="Arial" w:cs="Arial"/>
                <w:b/>
                <w:bCs/>
                <w:sz w:val="20"/>
                <w:szCs w:val="20"/>
                <w:lang w:val="en-GB"/>
              </w:rPr>
              <w:lastRenderedPageBreak/>
              <w:t>Immediate resp</w:t>
            </w:r>
            <w:r w:rsidR="00DC74D7" w:rsidRPr="009B39EC">
              <w:rPr>
                <w:rFonts w:ascii="Arial" w:hAnsi="Arial" w:cs="Arial"/>
                <w:b/>
                <w:bCs/>
                <w:sz w:val="20"/>
                <w:szCs w:val="20"/>
                <w:lang w:val="en-GB"/>
              </w:rPr>
              <w:t xml:space="preserve">onse, </w:t>
            </w:r>
            <w:proofErr w:type="gramStart"/>
            <w:r w:rsidR="00DC74D7" w:rsidRPr="009B39EC">
              <w:rPr>
                <w:rFonts w:ascii="Arial" w:hAnsi="Arial" w:cs="Arial"/>
                <w:b/>
                <w:bCs/>
                <w:sz w:val="20"/>
                <w:szCs w:val="20"/>
                <w:lang w:val="en-GB"/>
              </w:rPr>
              <w:t>prevention</w:t>
            </w:r>
            <w:proofErr w:type="gramEnd"/>
            <w:r w:rsidR="00DC74D7" w:rsidRPr="009B39EC">
              <w:rPr>
                <w:rFonts w:ascii="Arial" w:hAnsi="Arial" w:cs="Arial"/>
                <w:b/>
                <w:bCs/>
                <w:sz w:val="20"/>
                <w:szCs w:val="20"/>
                <w:lang w:val="en-GB"/>
              </w:rPr>
              <w:t xml:space="preserve"> and protection </w:t>
            </w:r>
            <w:r w:rsidR="001D4A16" w:rsidRPr="009B39EC">
              <w:rPr>
                <w:rFonts w:ascii="Arial" w:hAnsi="Arial" w:cs="Arial"/>
                <w:b/>
                <w:bCs/>
                <w:sz w:val="20"/>
                <w:szCs w:val="20"/>
                <w:lang w:val="en-GB"/>
              </w:rPr>
              <w:t>(</w:t>
            </w:r>
            <w:r w:rsidR="00DC74D7" w:rsidRPr="009B39EC">
              <w:rPr>
                <w:rFonts w:ascii="Arial" w:hAnsi="Arial" w:cs="Arial"/>
                <w:b/>
                <w:bCs/>
                <w:sz w:val="20"/>
                <w:szCs w:val="20"/>
                <w:lang w:val="en-GB"/>
              </w:rPr>
              <w:t>Article</w:t>
            </w:r>
            <w:r w:rsidR="001D4A16" w:rsidRPr="009B39EC">
              <w:rPr>
                <w:rFonts w:ascii="Arial" w:hAnsi="Arial" w:cs="Arial"/>
                <w:b/>
                <w:bCs/>
                <w:sz w:val="20"/>
                <w:szCs w:val="20"/>
                <w:lang w:val="en-GB"/>
              </w:rPr>
              <w:t xml:space="preserve"> 50)</w:t>
            </w:r>
          </w:p>
        </w:tc>
      </w:tr>
      <w:tr w:rsidR="00F03CCA" w:rsidRPr="009B39EC" w14:paraId="167DC93A" w14:textId="77777777" w:rsidTr="00047815">
        <w:tc>
          <w:tcPr>
            <w:tcW w:w="216" w:type="pct"/>
            <w:vMerge w:val="restart"/>
            <w:shd w:val="clear" w:color="auto" w:fill="FBE4D5" w:themeFill="accent2" w:themeFillTint="33"/>
          </w:tcPr>
          <w:p w14:paraId="6E154279"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25</w:t>
            </w:r>
          </w:p>
        </w:tc>
        <w:tc>
          <w:tcPr>
            <w:tcW w:w="3497" w:type="pct"/>
            <w:shd w:val="clear" w:color="auto" w:fill="FBE4D5" w:themeFill="accent2" w:themeFillTint="33"/>
          </w:tcPr>
          <w:p w14:paraId="40A3FCD7" w14:textId="06DE83AA" w:rsidR="00F03CCA" w:rsidRPr="009B39EC" w:rsidRDefault="00DC74D7" w:rsidP="00F03CCA">
            <w:pPr>
              <w:pStyle w:val="NoSpacing"/>
              <w:jc w:val="both"/>
              <w:rPr>
                <w:rFonts w:ascii="Arial" w:hAnsi="Arial" w:cs="Arial"/>
                <w:sz w:val="20"/>
                <w:szCs w:val="20"/>
                <w:lang w:val="en-GB"/>
              </w:rPr>
            </w:pPr>
            <w:r w:rsidRPr="009B39EC">
              <w:rPr>
                <w:rFonts w:ascii="Arial" w:hAnsi="Arial" w:cs="Arial"/>
                <w:sz w:val="20"/>
                <w:szCs w:val="20"/>
                <w:lang w:val="en-GB"/>
              </w:rPr>
              <w:t>Have your authorities taken measures contributing to improve the prompt and appropriate response of law enforcement agencies, in particular</w:t>
            </w:r>
            <w:r w:rsidR="001D4A16" w:rsidRPr="009B39EC">
              <w:rPr>
                <w:rFonts w:ascii="Arial" w:hAnsi="Arial" w:cs="Arial"/>
                <w:sz w:val="20"/>
                <w:szCs w:val="20"/>
                <w:lang w:val="en-GB"/>
              </w:rPr>
              <w:t>:</w:t>
            </w:r>
          </w:p>
        </w:tc>
        <w:tc>
          <w:tcPr>
            <w:tcW w:w="800" w:type="pct"/>
            <w:shd w:val="clear" w:color="auto" w:fill="FBE4D5" w:themeFill="accent2" w:themeFillTint="33"/>
          </w:tcPr>
          <w:p w14:paraId="6E2798B2" w14:textId="77777777" w:rsidR="00F03CCA" w:rsidRPr="009B39EC" w:rsidRDefault="00F03CCA" w:rsidP="00F03CCA">
            <w:pPr>
              <w:jc w:val="both"/>
              <w:rPr>
                <w:rFonts w:ascii="Arial" w:hAnsi="Arial" w:cs="Arial"/>
                <w:sz w:val="20"/>
                <w:szCs w:val="20"/>
                <w:lang w:val="en-GB"/>
              </w:rPr>
            </w:pPr>
          </w:p>
          <w:p w14:paraId="0019E7A5" w14:textId="77777777" w:rsidR="00F03CCA" w:rsidRPr="009B39EC" w:rsidRDefault="00F03CCA" w:rsidP="00F03CCA">
            <w:pPr>
              <w:jc w:val="both"/>
              <w:rPr>
                <w:rFonts w:ascii="Arial" w:hAnsi="Arial" w:cs="Arial"/>
                <w:sz w:val="20"/>
                <w:szCs w:val="20"/>
                <w:lang w:val="en-GB"/>
              </w:rPr>
            </w:pPr>
          </w:p>
        </w:tc>
        <w:tc>
          <w:tcPr>
            <w:tcW w:w="487" w:type="pct"/>
            <w:shd w:val="clear" w:color="auto" w:fill="FBE4D5" w:themeFill="accent2" w:themeFillTint="33"/>
          </w:tcPr>
          <w:p w14:paraId="7CD84588" w14:textId="77777777" w:rsidR="00F03CCA" w:rsidRPr="009B39EC" w:rsidRDefault="00F03CCA" w:rsidP="00F03CCA">
            <w:pPr>
              <w:jc w:val="both"/>
              <w:rPr>
                <w:rFonts w:ascii="Arial" w:hAnsi="Arial" w:cs="Arial"/>
                <w:sz w:val="20"/>
                <w:szCs w:val="20"/>
                <w:lang w:val="en-GB"/>
              </w:rPr>
            </w:pPr>
          </w:p>
          <w:p w14:paraId="0FF07323" w14:textId="77777777" w:rsidR="00F03CCA" w:rsidRPr="009B39EC" w:rsidRDefault="00F03CCA" w:rsidP="00F03CCA">
            <w:pPr>
              <w:jc w:val="both"/>
              <w:rPr>
                <w:rFonts w:ascii="Arial" w:hAnsi="Arial" w:cs="Arial"/>
                <w:sz w:val="20"/>
                <w:szCs w:val="20"/>
                <w:lang w:val="en-GB"/>
              </w:rPr>
            </w:pPr>
          </w:p>
        </w:tc>
      </w:tr>
      <w:tr w:rsidR="00DC74D7" w:rsidRPr="009B39EC" w14:paraId="2DABDF5D" w14:textId="77777777" w:rsidTr="00047815">
        <w:tc>
          <w:tcPr>
            <w:tcW w:w="216" w:type="pct"/>
            <w:vMerge/>
            <w:shd w:val="clear" w:color="auto" w:fill="FBE4D5" w:themeFill="accent2" w:themeFillTint="33"/>
          </w:tcPr>
          <w:p w14:paraId="729D82CB" w14:textId="77777777" w:rsidR="00DC74D7" w:rsidRPr="009B39EC" w:rsidRDefault="00DC74D7" w:rsidP="00DC74D7">
            <w:pPr>
              <w:jc w:val="both"/>
              <w:rPr>
                <w:rFonts w:ascii="Arial" w:hAnsi="Arial" w:cs="Arial"/>
                <w:sz w:val="20"/>
                <w:szCs w:val="20"/>
                <w:lang w:val="en-GB"/>
              </w:rPr>
            </w:pPr>
          </w:p>
        </w:tc>
        <w:tc>
          <w:tcPr>
            <w:tcW w:w="3497" w:type="pct"/>
            <w:shd w:val="clear" w:color="auto" w:fill="FBE4D5" w:themeFill="accent2" w:themeFillTint="33"/>
          </w:tcPr>
          <w:p w14:paraId="1FAFA5F3" w14:textId="3DE918BE"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Enhancing training of law enforcement officials on the gendered nature of violence against women and its consequences</w:t>
            </w:r>
          </w:p>
        </w:tc>
        <w:tc>
          <w:tcPr>
            <w:tcW w:w="800" w:type="pct"/>
            <w:shd w:val="clear" w:color="auto" w:fill="FBE4D5" w:themeFill="accent2" w:themeFillTint="33"/>
          </w:tcPr>
          <w:p w14:paraId="307E2D06" w14:textId="1D46C8D5"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781263748"/>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73921F89" w14:textId="37DDF782"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32309712"/>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p w14:paraId="47D0BB3D" w14:textId="77777777" w:rsidR="00DC74D7" w:rsidRPr="009B39EC" w:rsidRDefault="00DC74D7" w:rsidP="00DC74D7">
            <w:pPr>
              <w:jc w:val="both"/>
              <w:rPr>
                <w:rFonts w:ascii="Arial" w:hAnsi="Arial" w:cs="Arial"/>
                <w:sz w:val="20"/>
                <w:szCs w:val="20"/>
                <w:lang w:val="en-GB"/>
              </w:rPr>
            </w:pPr>
          </w:p>
        </w:tc>
      </w:tr>
      <w:tr w:rsidR="00DC74D7" w:rsidRPr="009B39EC" w14:paraId="04DECD09" w14:textId="77777777" w:rsidTr="00047815">
        <w:tc>
          <w:tcPr>
            <w:tcW w:w="216" w:type="pct"/>
            <w:vMerge/>
            <w:shd w:val="clear" w:color="auto" w:fill="FBE4D5" w:themeFill="accent2" w:themeFillTint="33"/>
          </w:tcPr>
          <w:p w14:paraId="35A4C236" w14:textId="77777777" w:rsidR="00DC74D7" w:rsidRPr="009B39EC" w:rsidRDefault="00DC74D7" w:rsidP="00DC74D7">
            <w:pPr>
              <w:jc w:val="both"/>
              <w:rPr>
                <w:rFonts w:ascii="Arial" w:hAnsi="Arial" w:cs="Arial"/>
                <w:sz w:val="20"/>
                <w:szCs w:val="20"/>
                <w:lang w:val="en-GB"/>
              </w:rPr>
            </w:pPr>
          </w:p>
        </w:tc>
        <w:tc>
          <w:tcPr>
            <w:tcW w:w="3497" w:type="pct"/>
            <w:shd w:val="clear" w:color="auto" w:fill="FBE4D5" w:themeFill="accent2" w:themeFillTint="33"/>
          </w:tcPr>
          <w:p w14:paraId="0CBB59C7" w14:textId="36B3CAF9"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 xml:space="preserve">Ensuring </w:t>
            </w:r>
            <w:proofErr w:type="gramStart"/>
            <w:r w:rsidRPr="009B39EC">
              <w:rPr>
                <w:rFonts w:ascii="Arial" w:hAnsi="Arial" w:cs="Arial"/>
                <w:sz w:val="20"/>
                <w:szCs w:val="20"/>
                <w:lang w:val="en-GB"/>
              </w:rPr>
              <w:t>a sufficient number of</w:t>
            </w:r>
            <w:proofErr w:type="gramEnd"/>
            <w:r w:rsidRPr="009B39EC">
              <w:rPr>
                <w:rFonts w:ascii="Arial" w:hAnsi="Arial" w:cs="Arial"/>
                <w:sz w:val="20"/>
                <w:szCs w:val="20"/>
                <w:lang w:val="en-GB"/>
              </w:rPr>
              <w:t xml:space="preserve"> female police officers</w:t>
            </w:r>
          </w:p>
        </w:tc>
        <w:tc>
          <w:tcPr>
            <w:tcW w:w="800" w:type="pct"/>
            <w:shd w:val="clear" w:color="auto" w:fill="FBE4D5" w:themeFill="accent2" w:themeFillTint="33"/>
          </w:tcPr>
          <w:p w14:paraId="0A6FD7B3" w14:textId="103A4F6C"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515568130"/>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7FB2AE89" w14:textId="4716F8F8"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31084310"/>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DC74D7" w:rsidRPr="009B39EC" w14:paraId="002A0C81" w14:textId="77777777" w:rsidTr="00047815">
        <w:tc>
          <w:tcPr>
            <w:tcW w:w="216" w:type="pct"/>
            <w:vMerge/>
            <w:shd w:val="clear" w:color="auto" w:fill="FBE4D5" w:themeFill="accent2" w:themeFillTint="33"/>
          </w:tcPr>
          <w:p w14:paraId="726C9122" w14:textId="77777777" w:rsidR="00DC74D7" w:rsidRPr="009B39EC" w:rsidRDefault="00DC74D7" w:rsidP="00DC74D7">
            <w:pPr>
              <w:jc w:val="both"/>
              <w:rPr>
                <w:rFonts w:ascii="Arial" w:hAnsi="Arial" w:cs="Arial"/>
                <w:sz w:val="20"/>
                <w:szCs w:val="20"/>
                <w:lang w:val="en-GB"/>
              </w:rPr>
            </w:pPr>
          </w:p>
        </w:tc>
        <w:tc>
          <w:tcPr>
            <w:tcW w:w="3497" w:type="pct"/>
            <w:shd w:val="clear" w:color="auto" w:fill="FBE4D5" w:themeFill="accent2" w:themeFillTint="33"/>
          </w:tcPr>
          <w:p w14:paraId="4A08AE67" w14:textId="54ED04DD"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Setting up premises designed to establish a relationship of trust between the victim and the law enforcement personnel</w:t>
            </w:r>
          </w:p>
        </w:tc>
        <w:tc>
          <w:tcPr>
            <w:tcW w:w="800" w:type="pct"/>
            <w:shd w:val="clear" w:color="auto" w:fill="FBE4D5" w:themeFill="accent2" w:themeFillTint="33"/>
          </w:tcPr>
          <w:p w14:paraId="4A17725E" w14:textId="7C1618B6"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546873013"/>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008B6EE6" w14:textId="383BE27F"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043564897"/>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DC74D7" w:rsidRPr="009B39EC" w14:paraId="7BA01C66" w14:textId="77777777" w:rsidTr="00047815">
        <w:tc>
          <w:tcPr>
            <w:tcW w:w="216" w:type="pct"/>
            <w:vMerge/>
            <w:shd w:val="clear" w:color="auto" w:fill="FBE4D5" w:themeFill="accent2" w:themeFillTint="33"/>
          </w:tcPr>
          <w:p w14:paraId="682E6503" w14:textId="77777777" w:rsidR="00DC74D7" w:rsidRPr="009B39EC" w:rsidRDefault="00DC74D7" w:rsidP="00DC74D7">
            <w:pPr>
              <w:jc w:val="both"/>
              <w:rPr>
                <w:rFonts w:ascii="Arial" w:hAnsi="Arial" w:cs="Arial"/>
                <w:sz w:val="20"/>
                <w:szCs w:val="20"/>
                <w:lang w:val="en-GB"/>
              </w:rPr>
            </w:pPr>
          </w:p>
        </w:tc>
        <w:tc>
          <w:tcPr>
            <w:tcW w:w="3497" w:type="pct"/>
            <w:shd w:val="clear" w:color="auto" w:fill="FBE4D5" w:themeFill="accent2" w:themeFillTint="33"/>
          </w:tcPr>
          <w:p w14:paraId="23E0860D" w14:textId="77777777"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Ensuring the efficient collection of evidence so that the reliance on the victim’s testimony is lessened</w:t>
            </w:r>
          </w:p>
          <w:p w14:paraId="5471713A" w14:textId="77777777" w:rsidR="00DC74D7" w:rsidRPr="009B39EC" w:rsidRDefault="00DC74D7" w:rsidP="00DC74D7">
            <w:pPr>
              <w:pStyle w:val="NoSpacing"/>
              <w:jc w:val="both"/>
              <w:rPr>
                <w:rFonts w:ascii="Arial" w:hAnsi="Arial" w:cs="Arial"/>
                <w:sz w:val="20"/>
                <w:szCs w:val="20"/>
                <w:lang w:val="en-GB"/>
              </w:rPr>
            </w:pPr>
          </w:p>
        </w:tc>
        <w:tc>
          <w:tcPr>
            <w:tcW w:w="800" w:type="pct"/>
            <w:shd w:val="clear" w:color="auto" w:fill="FBE4D5" w:themeFill="accent2" w:themeFillTint="33"/>
          </w:tcPr>
          <w:p w14:paraId="1F11AC11" w14:textId="1A2F0A85"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575199670"/>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0402D488" w14:textId="2953D6CA"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953173373"/>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F03CCA" w:rsidRPr="009B39EC" w14:paraId="5B198170" w14:textId="77777777" w:rsidTr="004860C4">
        <w:tc>
          <w:tcPr>
            <w:tcW w:w="216" w:type="pct"/>
            <w:shd w:val="clear" w:color="auto" w:fill="FBE4D5" w:themeFill="accent2" w:themeFillTint="33"/>
          </w:tcPr>
          <w:p w14:paraId="486E81B2"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25.1</w:t>
            </w:r>
          </w:p>
        </w:tc>
        <w:tc>
          <w:tcPr>
            <w:tcW w:w="4784" w:type="pct"/>
            <w:gridSpan w:val="3"/>
            <w:shd w:val="clear" w:color="auto" w:fill="FBE4D5" w:themeFill="accent2" w:themeFillTint="33"/>
          </w:tcPr>
          <w:p w14:paraId="4FE99B95" w14:textId="7ABC0C72" w:rsidR="00F03CCA" w:rsidRPr="009B39EC" w:rsidRDefault="002A16E9" w:rsidP="00F03CCA">
            <w:pPr>
              <w:jc w:val="both"/>
              <w:rPr>
                <w:rFonts w:ascii="Arial" w:hAnsi="Arial" w:cs="Arial"/>
                <w:sz w:val="20"/>
                <w:szCs w:val="20"/>
                <w:lang w:val="en-GB"/>
              </w:rPr>
            </w:pPr>
            <w:r w:rsidRPr="009B39EC">
              <w:rPr>
                <w:rFonts w:ascii="Arial" w:hAnsi="Arial" w:cs="Arial"/>
                <w:sz w:val="20"/>
                <w:szCs w:val="20"/>
                <w:lang w:val="en-GB"/>
              </w:rPr>
              <w:t>If yes, please specify</w:t>
            </w:r>
            <w:r w:rsidR="00FF5CBB" w:rsidRPr="009B39EC">
              <w:rPr>
                <w:rFonts w:ascii="Arial" w:hAnsi="Arial" w:cs="Arial"/>
                <w:sz w:val="20"/>
                <w:szCs w:val="20"/>
                <w:lang w:val="en-GB"/>
              </w:rPr>
              <w:t>:</w:t>
            </w:r>
          </w:p>
          <w:p w14:paraId="0909E16B" w14:textId="7CB1E6A1" w:rsidR="00BF5668" w:rsidRPr="009B39EC" w:rsidRDefault="00BF5668" w:rsidP="00F03CCA">
            <w:pPr>
              <w:jc w:val="both"/>
              <w:rPr>
                <w:rFonts w:ascii="Arial" w:hAnsi="Arial" w:cs="Arial"/>
                <w:sz w:val="20"/>
                <w:szCs w:val="20"/>
                <w:lang w:val="en-GB"/>
              </w:rPr>
            </w:pPr>
          </w:p>
        </w:tc>
      </w:tr>
      <w:tr w:rsidR="00F03CCA" w:rsidRPr="009B39EC" w14:paraId="3B70EB28" w14:textId="77777777" w:rsidTr="004860C4">
        <w:tc>
          <w:tcPr>
            <w:tcW w:w="216" w:type="pct"/>
            <w:shd w:val="clear" w:color="auto" w:fill="FBE4D5" w:themeFill="accent2" w:themeFillTint="33"/>
          </w:tcPr>
          <w:p w14:paraId="7C878F09"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25.2</w:t>
            </w:r>
          </w:p>
        </w:tc>
        <w:tc>
          <w:tcPr>
            <w:tcW w:w="4784" w:type="pct"/>
            <w:gridSpan w:val="3"/>
            <w:shd w:val="clear" w:color="auto" w:fill="FBE4D5" w:themeFill="accent2" w:themeFillTint="33"/>
          </w:tcPr>
          <w:p w14:paraId="75170959" w14:textId="314A7867" w:rsidR="00BF5668" w:rsidRPr="009B39EC" w:rsidRDefault="00047815" w:rsidP="00BF5668">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BF5668" w:rsidRPr="009B39EC">
              <w:rPr>
                <w:rFonts w:ascii="Arial" w:hAnsi="Arial" w:cs="Arial"/>
                <w:sz w:val="20"/>
                <w:szCs w:val="20"/>
                <w:lang w:val="en-GB"/>
              </w:rPr>
              <w:t>:</w:t>
            </w:r>
          </w:p>
          <w:p w14:paraId="1906F851" w14:textId="77777777" w:rsidR="00F03CCA" w:rsidRPr="009B39EC" w:rsidRDefault="00F03CCA" w:rsidP="00F03CCA">
            <w:pPr>
              <w:jc w:val="both"/>
              <w:rPr>
                <w:rFonts w:ascii="Arial" w:hAnsi="Arial" w:cs="Arial"/>
                <w:sz w:val="20"/>
                <w:szCs w:val="20"/>
                <w:lang w:val="en-GB"/>
              </w:rPr>
            </w:pPr>
          </w:p>
        </w:tc>
      </w:tr>
      <w:tr w:rsidR="00F03CCA" w:rsidRPr="009B39EC" w14:paraId="6737D548" w14:textId="77777777" w:rsidTr="00047815">
        <w:tc>
          <w:tcPr>
            <w:tcW w:w="216" w:type="pct"/>
            <w:shd w:val="clear" w:color="auto" w:fill="FBE4D5" w:themeFill="accent2" w:themeFillTint="33"/>
          </w:tcPr>
          <w:p w14:paraId="75FA2C0E"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26</w:t>
            </w:r>
          </w:p>
        </w:tc>
        <w:tc>
          <w:tcPr>
            <w:tcW w:w="3497" w:type="pct"/>
            <w:shd w:val="clear" w:color="auto" w:fill="FBE4D5" w:themeFill="accent2" w:themeFillTint="33"/>
          </w:tcPr>
          <w:p w14:paraId="5183B40C" w14:textId="13144E94" w:rsidR="00F03CCA" w:rsidRPr="009B39EC" w:rsidRDefault="00DC74D7" w:rsidP="00DC74D7">
            <w:pPr>
              <w:pStyle w:val="NoSpacing"/>
              <w:ind w:left="720"/>
              <w:contextualSpacing/>
              <w:jc w:val="both"/>
              <w:rPr>
                <w:rFonts w:ascii="Arial" w:hAnsi="Arial" w:cs="Arial"/>
                <w:sz w:val="20"/>
                <w:szCs w:val="20"/>
                <w:lang w:val="en-GB"/>
              </w:rPr>
            </w:pPr>
            <w:r w:rsidRPr="009B39EC">
              <w:rPr>
                <w:rFonts w:ascii="Arial" w:hAnsi="Arial" w:cs="Arial"/>
                <w:sz w:val="20"/>
                <w:szCs w:val="20"/>
                <w:lang w:val="en-GB"/>
              </w:rPr>
              <w:t>Have your authorities taken measures contributing to enable the identification and careful analysis of any failure of protection?</w:t>
            </w:r>
          </w:p>
        </w:tc>
        <w:tc>
          <w:tcPr>
            <w:tcW w:w="800" w:type="pct"/>
            <w:shd w:val="clear" w:color="auto" w:fill="FBE4D5" w:themeFill="accent2" w:themeFillTint="33"/>
          </w:tcPr>
          <w:p w14:paraId="449F19B5" w14:textId="0D87510F" w:rsidR="00F03CCA" w:rsidRPr="009B39EC" w:rsidRDefault="00A65624" w:rsidP="00F03CCA">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782951173"/>
                <w14:checkbox>
                  <w14:checked w14:val="0"/>
                  <w14:checkedState w14:val="2612" w14:font="MS Gothic"/>
                  <w14:uncheckedState w14:val="2610" w14:font="MS Gothic"/>
                </w14:checkbox>
              </w:sdtPr>
              <w:sdtEndPr/>
              <w:sdtContent>
                <w:r w:rsidR="00F03CCA"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26AA1D6E" w14:textId="6213A669" w:rsidR="00F03CCA" w:rsidRPr="009B39EC" w:rsidRDefault="00A65624" w:rsidP="00F03CCA">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815178703"/>
                <w14:checkbox>
                  <w14:checked w14:val="0"/>
                  <w14:checkedState w14:val="2612" w14:font="MS Gothic"/>
                  <w14:uncheckedState w14:val="2610" w14:font="MS Gothic"/>
                </w14:checkbox>
              </w:sdtPr>
              <w:sdtEndPr/>
              <w:sdtContent>
                <w:r w:rsidR="00F03CCA" w:rsidRPr="009B39EC">
                  <w:rPr>
                    <w:rFonts w:ascii="Segoe UI Symbol" w:eastAsia="MS Gothic" w:hAnsi="Segoe UI Symbol" w:cs="Segoe UI Symbol"/>
                    <w:sz w:val="20"/>
                    <w:szCs w:val="20"/>
                    <w:lang w:val="en-GB"/>
                  </w:rPr>
                  <w:t>☐</w:t>
                </w:r>
              </w:sdtContent>
            </w:sdt>
          </w:p>
        </w:tc>
      </w:tr>
      <w:tr w:rsidR="00F03CCA" w:rsidRPr="009B39EC" w14:paraId="0DEAD734" w14:textId="77777777" w:rsidTr="004860C4">
        <w:tc>
          <w:tcPr>
            <w:tcW w:w="216" w:type="pct"/>
            <w:shd w:val="clear" w:color="auto" w:fill="FBE4D5" w:themeFill="accent2" w:themeFillTint="33"/>
          </w:tcPr>
          <w:p w14:paraId="63FE2091" w14:textId="77777777" w:rsidR="00F03CCA" w:rsidRPr="009B39EC" w:rsidRDefault="00F03CCA" w:rsidP="00F03CCA">
            <w:pPr>
              <w:jc w:val="both"/>
              <w:rPr>
                <w:rFonts w:ascii="Arial" w:hAnsi="Arial" w:cs="Arial"/>
                <w:sz w:val="20"/>
                <w:szCs w:val="20"/>
                <w:lang w:val="en-GB"/>
              </w:rPr>
            </w:pPr>
            <w:r w:rsidRPr="009B39EC">
              <w:rPr>
                <w:rFonts w:ascii="Arial" w:hAnsi="Arial" w:cs="Arial"/>
                <w:sz w:val="20"/>
                <w:szCs w:val="20"/>
                <w:lang w:val="en-GB"/>
              </w:rPr>
              <w:t>26.1</w:t>
            </w:r>
          </w:p>
        </w:tc>
        <w:tc>
          <w:tcPr>
            <w:tcW w:w="4784" w:type="pct"/>
            <w:gridSpan w:val="3"/>
            <w:shd w:val="clear" w:color="auto" w:fill="FBE4D5" w:themeFill="accent2" w:themeFillTint="33"/>
          </w:tcPr>
          <w:p w14:paraId="5B760756" w14:textId="049482D4" w:rsidR="00F03CCA" w:rsidRPr="009B39EC" w:rsidRDefault="00DC74D7" w:rsidP="00F03CCA">
            <w:pPr>
              <w:jc w:val="both"/>
              <w:rPr>
                <w:rFonts w:ascii="Arial" w:hAnsi="Arial" w:cs="Arial"/>
                <w:sz w:val="20"/>
                <w:szCs w:val="20"/>
                <w:lang w:val="en-GB"/>
              </w:rPr>
            </w:pPr>
            <w:r w:rsidRPr="009B39EC">
              <w:rPr>
                <w:rFonts w:ascii="Arial" w:hAnsi="Arial" w:cs="Arial"/>
                <w:sz w:val="20"/>
                <w:szCs w:val="20"/>
                <w:lang w:val="en-GB"/>
              </w:rPr>
              <w:t>If yes, please specify what kind of measures, and if further preventive measures were adopted to remedy this situation</w:t>
            </w:r>
            <w:r w:rsidR="00BF5668" w:rsidRPr="009B39EC">
              <w:rPr>
                <w:rFonts w:ascii="Arial" w:hAnsi="Arial" w:cs="Arial"/>
                <w:sz w:val="20"/>
                <w:szCs w:val="20"/>
                <w:lang w:val="en-GB"/>
              </w:rPr>
              <w:t>:</w:t>
            </w:r>
          </w:p>
          <w:p w14:paraId="1C6FF3DB" w14:textId="45AB6607" w:rsidR="00BF5668" w:rsidRPr="009B39EC" w:rsidRDefault="00BF5668" w:rsidP="00F03CCA">
            <w:pPr>
              <w:jc w:val="both"/>
              <w:rPr>
                <w:rFonts w:ascii="Arial" w:hAnsi="Arial" w:cs="Arial"/>
                <w:sz w:val="20"/>
                <w:szCs w:val="20"/>
                <w:lang w:val="en-GB"/>
              </w:rPr>
            </w:pPr>
          </w:p>
        </w:tc>
      </w:tr>
      <w:tr w:rsidR="00BF5668" w:rsidRPr="009B39EC" w14:paraId="2E59DB07" w14:textId="77777777" w:rsidTr="004860C4">
        <w:tc>
          <w:tcPr>
            <w:tcW w:w="216" w:type="pct"/>
            <w:shd w:val="clear" w:color="auto" w:fill="FBE4D5" w:themeFill="accent2" w:themeFillTint="33"/>
          </w:tcPr>
          <w:p w14:paraId="054E93AD"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26.2</w:t>
            </w:r>
          </w:p>
        </w:tc>
        <w:tc>
          <w:tcPr>
            <w:tcW w:w="4784" w:type="pct"/>
            <w:gridSpan w:val="3"/>
            <w:shd w:val="clear" w:color="auto" w:fill="FBE4D5" w:themeFill="accent2" w:themeFillTint="33"/>
          </w:tcPr>
          <w:p w14:paraId="380143BE" w14:textId="59697F02" w:rsidR="00BF5668" w:rsidRPr="009B39EC" w:rsidRDefault="00047815" w:rsidP="00BF5668">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BF5668" w:rsidRPr="009B39EC">
              <w:rPr>
                <w:rFonts w:ascii="Arial" w:hAnsi="Arial" w:cs="Arial"/>
                <w:sz w:val="20"/>
                <w:szCs w:val="20"/>
                <w:lang w:val="en-GB"/>
              </w:rPr>
              <w:t>:</w:t>
            </w:r>
          </w:p>
          <w:p w14:paraId="0DFFEDFE" w14:textId="77777777" w:rsidR="00BF5668" w:rsidRPr="009B39EC" w:rsidRDefault="00BF5668" w:rsidP="00BF5668">
            <w:pPr>
              <w:jc w:val="both"/>
              <w:rPr>
                <w:rFonts w:ascii="Arial" w:hAnsi="Arial" w:cs="Arial"/>
                <w:sz w:val="20"/>
                <w:szCs w:val="20"/>
                <w:lang w:val="en-GB"/>
              </w:rPr>
            </w:pPr>
          </w:p>
        </w:tc>
      </w:tr>
      <w:tr w:rsidR="00BF5668" w:rsidRPr="009B39EC" w14:paraId="7F0F6DF5" w14:textId="77777777" w:rsidTr="004860C4">
        <w:tc>
          <w:tcPr>
            <w:tcW w:w="216" w:type="pct"/>
            <w:shd w:val="clear" w:color="auto" w:fill="FBE4D5" w:themeFill="accent2" w:themeFillTint="33"/>
          </w:tcPr>
          <w:p w14:paraId="48346665"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27</w:t>
            </w:r>
          </w:p>
        </w:tc>
        <w:tc>
          <w:tcPr>
            <w:tcW w:w="4784" w:type="pct"/>
            <w:gridSpan w:val="3"/>
            <w:shd w:val="clear" w:color="auto" w:fill="FBE4D5" w:themeFill="accent2" w:themeFillTint="33"/>
          </w:tcPr>
          <w:p w14:paraId="5A5CA161" w14:textId="77777777" w:rsidR="00BF5668" w:rsidRDefault="00DC74D7" w:rsidP="00BF5668">
            <w:pPr>
              <w:jc w:val="both"/>
              <w:rPr>
                <w:rFonts w:ascii="Arial" w:hAnsi="Arial" w:cs="Arial"/>
                <w:sz w:val="20"/>
                <w:szCs w:val="20"/>
                <w:lang w:val="en-GB"/>
              </w:rPr>
            </w:pPr>
            <w:r w:rsidRPr="009B39EC">
              <w:rPr>
                <w:rFonts w:ascii="Arial" w:hAnsi="Arial" w:cs="Arial"/>
                <w:sz w:val="20"/>
                <w:szCs w:val="20"/>
                <w:lang w:val="en-GB"/>
              </w:rPr>
              <w:t>In case your authorities have taken further measures contributing to the implementation of recommendations in relation to Article 50, which were not covered by the questions above, please report on these measures [word limit: 1000 words]</w:t>
            </w:r>
            <w:r w:rsidR="00BF5668" w:rsidRPr="009B39EC">
              <w:rPr>
                <w:rFonts w:ascii="Arial" w:hAnsi="Arial" w:cs="Arial"/>
                <w:sz w:val="20"/>
                <w:szCs w:val="20"/>
                <w:lang w:val="en-GB"/>
              </w:rPr>
              <w:t>:</w:t>
            </w:r>
          </w:p>
          <w:p w14:paraId="18C956B0" w14:textId="34CDE87C" w:rsidR="009B39EC" w:rsidRPr="009B39EC" w:rsidRDefault="009B39EC" w:rsidP="00BF5668">
            <w:pPr>
              <w:jc w:val="both"/>
              <w:rPr>
                <w:rFonts w:ascii="Arial" w:hAnsi="Arial" w:cs="Arial"/>
                <w:sz w:val="20"/>
                <w:szCs w:val="20"/>
                <w:lang w:val="en-GB"/>
              </w:rPr>
            </w:pPr>
          </w:p>
        </w:tc>
      </w:tr>
      <w:tr w:rsidR="00BF5668" w:rsidRPr="009B39EC" w14:paraId="237E5DB8" w14:textId="77777777" w:rsidTr="004769AB">
        <w:tc>
          <w:tcPr>
            <w:tcW w:w="5000" w:type="pct"/>
            <w:gridSpan w:val="4"/>
            <w:shd w:val="clear" w:color="auto" w:fill="FBE4D5" w:themeFill="accent2" w:themeFillTint="33"/>
          </w:tcPr>
          <w:p w14:paraId="0DFA4FE9" w14:textId="77777777" w:rsidR="00BF5668" w:rsidRPr="009B39EC" w:rsidRDefault="00BF5668" w:rsidP="00BF5668">
            <w:pPr>
              <w:pStyle w:val="NoSpacing"/>
              <w:ind w:left="1080"/>
              <w:jc w:val="both"/>
              <w:rPr>
                <w:rFonts w:ascii="Arial" w:hAnsi="Arial" w:cs="Arial"/>
                <w:sz w:val="20"/>
                <w:szCs w:val="20"/>
                <w:lang w:val="en-GB"/>
              </w:rPr>
            </w:pPr>
          </w:p>
          <w:p w14:paraId="7D12057B" w14:textId="77777777" w:rsidR="00BF5668" w:rsidRPr="009B39EC" w:rsidRDefault="00DC74D7" w:rsidP="00BF5668">
            <w:pPr>
              <w:pStyle w:val="ListParagraph"/>
              <w:numPr>
                <w:ilvl w:val="0"/>
                <w:numId w:val="3"/>
              </w:numPr>
              <w:jc w:val="both"/>
              <w:rPr>
                <w:rFonts w:ascii="Arial" w:hAnsi="Arial" w:cs="Arial"/>
                <w:sz w:val="20"/>
                <w:szCs w:val="20"/>
                <w:lang w:val="en-GB"/>
              </w:rPr>
            </w:pPr>
            <w:r w:rsidRPr="009B39EC">
              <w:rPr>
                <w:rFonts w:ascii="Arial" w:hAnsi="Arial" w:cs="Arial"/>
                <w:b/>
                <w:bCs/>
                <w:sz w:val="20"/>
                <w:szCs w:val="20"/>
                <w:lang w:val="en-GB"/>
              </w:rPr>
              <w:t>Emergency barring, restraining or protection orders</w:t>
            </w:r>
            <w:r w:rsidR="00BF5668" w:rsidRPr="009B39EC">
              <w:rPr>
                <w:rFonts w:ascii="Arial" w:hAnsi="Arial" w:cs="Arial"/>
                <w:b/>
                <w:bCs/>
                <w:sz w:val="20"/>
                <w:szCs w:val="20"/>
                <w:lang w:val="en-GB"/>
              </w:rPr>
              <w:t xml:space="preserve"> (</w:t>
            </w:r>
            <w:r w:rsidRPr="009B39EC">
              <w:rPr>
                <w:rFonts w:ascii="Arial" w:hAnsi="Arial" w:cs="Arial"/>
                <w:b/>
                <w:bCs/>
                <w:sz w:val="20"/>
                <w:szCs w:val="20"/>
                <w:lang w:val="en-GB"/>
              </w:rPr>
              <w:t>Articles</w:t>
            </w:r>
            <w:r w:rsidR="00BF5668" w:rsidRPr="009B39EC">
              <w:rPr>
                <w:rFonts w:ascii="Arial" w:hAnsi="Arial" w:cs="Arial"/>
                <w:b/>
                <w:bCs/>
                <w:sz w:val="20"/>
                <w:szCs w:val="20"/>
                <w:lang w:val="en-GB"/>
              </w:rPr>
              <w:t xml:space="preserve"> 52 </w:t>
            </w:r>
            <w:r w:rsidRPr="009B39EC">
              <w:rPr>
                <w:rFonts w:ascii="Arial" w:hAnsi="Arial" w:cs="Arial"/>
                <w:b/>
                <w:bCs/>
                <w:sz w:val="20"/>
                <w:szCs w:val="20"/>
                <w:lang w:val="en-GB"/>
              </w:rPr>
              <w:t>and</w:t>
            </w:r>
            <w:r w:rsidR="00BF5668" w:rsidRPr="009B39EC">
              <w:rPr>
                <w:rFonts w:ascii="Arial" w:hAnsi="Arial" w:cs="Arial"/>
                <w:b/>
                <w:bCs/>
                <w:sz w:val="20"/>
                <w:szCs w:val="20"/>
                <w:lang w:val="en-GB"/>
              </w:rPr>
              <w:t xml:space="preserve"> 53)</w:t>
            </w:r>
          </w:p>
          <w:p w14:paraId="4408DFCC" w14:textId="2EA7F941" w:rsidR="009B39EC" w:rsidRPr="009B39EC" w:rsidRDefault="009B39EC" w:rsidP="009B39EC">
            <w:pPr>
              <w:pStyle w:val="ListParagraph"/>
              <w:ind w:left="1080"/>
              <w:jc w:val="both"/>
              <w:rPr>
                <w:rFonts w:ascii="Arial" w:hAnsi="Arial" w:cs="Arial"/>
                <w:sz w:val="20"/>
                <w:szCs w:val="20"/>
                <w:lang w:val="en-GB"/>
              </w:rPr>
            </w:pPr>
          </w:p>
        </w:tc>
      </w:tr>
      <w:tr w:rsidR="00BF5668" w:rsidRPr="009B39EC" w14:paraId="135D26E5" w14:textId="77777777" w:rsidTr="00047815">
        <w:trPr>
          <w:trHeight w:val="1066"/>
        </w:trPr>
        <w:tc>
          <w:tcPr>
            <w:tcW w:w="216" w:type="pct"/>
            <w:shd w:val="clear" w:color="auto" w:fill="FBE4D5" w:themeFill="accent2" w:themeFillTint="33"/>
          </w:tcPr>
          <w:p w14:paraId="41DE0FB2"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28</w:t>
            </w:r>
          </w:p>
        </w:tc>
        <w:tc>
          <w:tcPr>
            <w:tcW w:w="3497" w:type="pct"/>
            <w:shd w:val="clear" w:color="auto" w:fill="FBE4D5" w:themeFill="accent2" w:themeFillTint="33"/>
          </w:tcPr>
          <w:p w14:paraId="2E0C2FB6" w14:textId="2FC7871F" w:rsidR="00BF5668" w:rsidRPr="009B39EC" w:rsidRDefault="00DC74D7" w:rsidP="00BF5668">
            <w:pPr>
              <w:pStyle w:val="NoSpacing"/>
              <w:jc w:val="both"/>
              <w:rPr>
                <w:rFonts w:ascii="Arial" w:hAnsi="Arial" w:cs="Arial"/>
                <w:sz w:val="20"/>
                <w:szCs w:val="20"/>
                <w:lang w:val="en-GB"/>
              </w:rPr>
            </w:pPr>
            <w:r w:rsidRPr="009B39EC">
              <w:rPr>
                <w:rStyle w:val="normal10"/>
                <w:rFonts w:ascii="Arial" w:hAnsi="Arial" w:cs="Arial"/>
                <w:sz w:val="20"/>
                <w:szCs w:val="20"/>
                <w:lang w:val="en-GB"/>
              </w:rPr>
              <w:t>As regards emergency barring orders, have your authorities taken measures contributing to ensure that the competent authorities are granted the power to order, in situations of immediate danger, a perpetrator of domestic violence to vacate the residence of the victim or person at risk, and to prohibit the perpetrator from entering the residence of or contacting the victim or person at risk</w:t>
            </w:r>
            <w:r w:rsidR="00BF5668" w:rsidRPr="009B39EC">
              <w:rPr>
                <w:rFonts w:ascii="Arial" w:hAnsi="Arial" w:cs="Arial"/>
                <w:sz w:val="20"/>
                <w:szCs w:val="20"/>
                <w:lang w:val="en-GB"/>
              </w:rPr>
              <w:t>.</w:t>
            </w:r>
          </w:p>
        </w:tc>
        <w:tc>
          <w:tcPr>
            <w:tcW w:w="800" w:type="pct"/>
            <w:shd w:val="clear" w:color="auto" w:fill="FBE4D5" w:themeFill="accent2" w:themeFillTint="33"/>
          </w:tcPr>
          <w:p w14:paraId="248F295E" w14:textId="77777777" w:rsidR="00BF5668" w:rsidRPr="009B39EC" w:rsidRDefault="00BF5668" w:rsidP="00BF5668">
            <w:pPr>
              <w:jc w:val="both"/>
              <w:rPr>
                <w:rFonts w:ascii="Arial" w:hAnsi="Arial" w:cs="Arial"/>
                <w:sz w:val="20"/>
                <w:szCs w:val="20"/>
                <w:lang w:val="en-GB"/>
              </w:rPr>
            </w:pPr>
          </w:p>
          <w:p w14:paraId="428F886E" w14:textId="37693BD7" w:rsidR="00BF5668" w:rsidRPr="009B39EC" w:rsidRDefault="00A65624" w:rsidP="00BF5668">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400869000"/>
                <w14:checkbox>
                  <w14:checked w14:val="0"/>
                  <w14:checkedState w14:val="2612" w14:font="MS Gothic"/>
                  <w14:uncheckedState w14:val="2610" w14:font="MS Gothic"/>
                </w14:checkbox>
              </w:sdtPr>
              <w:sdtEndPr/>
              <w:sdtContent>
                <w:r w:rsidR="00BF5668" w:rsidRPr="009B39EC">
                  <w:rPr>
                    <w:rFonts w:ascii="Segoe UI Symbol" w:eastAsia="MS Gothic" w:hAnsi="Segoe UI Symbol" w:cs="Segoe UI Symbol"/>
                    <w:sz w:val="20"/>
                    <w:szCs w:val="20"/>
                    <w:lang w:val="en-GB"/>
                  </w:rPr>
                  <w:t>☐</w:t>
                </w:r>
              </w:sdtContent>
            </w:sdt>
          </w:p>
        </w:tc>
        <w:tc>
          <w:tcPr>
            <w:tcW w:w="487" w:type="pct"/>
            <w:shd w:val="clear" w:color="auto" w:fill="FBE4D5" w:themeFill="accent2" w:themeFillTint="33"/>
          </w:tcPr>
          <w:p w14:paraId="1771CC7D" w14:textId="77777777" w:rsidR="00BF5668" w:rsidRPr="009B39EC" w:rsidRDefault="00BF5668" w:rsidP="00BF5668">
            <w:pPr>
              <w:jc w:val="both"/>
              <w:rPr>
                <w:rFonts w:ascii="Arial" w:hAnsi="Arial" w:cs="Arial"/>
                <w:sz w:val="20"/>
                <w:szCs w:val="20"/>
                <w:lang w:val="en-GB"/>
              </w:rPr>
            </w:pPr>
          </w:p>
          <w:p w14:paraId="03BE99CD" w14:textId="148D9418" w:rsidR="00BF5668" w:rsidRPr="009B39EC" w:rsidRDefault="00A65624" w:rsidP="00BF5668">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551378176"/>
                <w14:checkbox>
                  <w14:checked w14:val="0"/>
                  <w14:checkedState w14:val="2612" w14:font="MS Gothic"/>
                  <w14:uncheckedState w14:val="2610" w14:font="MS Gothic"/>
                </w14:checkbox>
              </w:sdtPr>
              <w:sdtEndPr/>
              <w:sdtContent>
                <w:r w:rsidR="00BF5668" w:rsidRPr="009B39EC">
                  <w:rPr>
                    <w:rFonts w:ascii="Segoe UI Symbol" w:eastAsia="MS Gothic" w:hAnsi="Segoe UI Symbol" w:cs="Segoe UI Symbol"/>
                    <w:sz w:val="20"/>
                    <w:szCs w:val="20"/>
                    <w:lang w:val="en-GB"/>
                  </w:rPr>
                  <w:t>☐</w:t>
                </w:r>
              </w:sdtContent>
            </w:sdt>
          </w:p>
          <w:p w14:paraId="421EFE67" w14:textId="77777777" w:rsidR="00BF5668" w:rsidRPr="009B39EC" w:rsidRDefault="00BF5668" w:rsidP="00BF5668">
            <w:pPr>
              <w:jc w:val="both"/>
              <w:rPr>
                <w:rFonts w:ascii="Arial" w:hAnsi="Arial" w:cs="Arial"/>
                <w:sz w:val="20"/>
                <w:szCs w:val="20"/>
                <w:lang w:val="en-GB"/>
              </w:rPr>
            </w:pPr>
          </w:p>
          <w:p w14:paraId="3A128059" w14:textId="77777777" w:rsidR="00BF5668" w:rsidRPr="009B39EC" w:rsidRDefault="00BF5668" w:rsidP="00BF5668">
            <w:pPr>
              <w:jc w:val="both"/>
              <w:rPr>
                <w:rFonts w:ascii="Arial" w:hAnsi="Arial" w:cs="Arial"/>
                <w:sz w:val="20"/>
                <w:szCs w:val="20"/>
                <w:lang w:val="en-GB"/>
              </w:rPr>
            </w:pPr>
          </w:p>
          <w:p w14:paraId="15AC7175" w14:textId="77777777" w:rsidR="00BF5668" w:rsidRPr="009B39EC" w:rsidRDefault="00BF5668" w:rsidP="00BF5668">
            <w:pPr>
              <w:jc w:val="both"/>
              <w:rPr>
                <w:rFonts w:ascii="Arial" w:hAnsi="Arial" w:cs="Arial"/>
                <w:sz w:val="20"/>
                <w:szCs w:val="20"/>
                <w:lang w:val="en-GB"/>
              </w:rPr>
            </w:pPr>
          </w:p>
          <w:p w14:paraId="13893FB1" w14:textId="77777777" w:rsidR="00BF5668" w:rsidRPr="009B39EC" w:rsidRDefault="00BF5668" w:rsidP="00BF5668">
            <w:pPr>
              <w:jc w:val="both"/>
              <w:rPr>
                <w:rFonts w:ascii="Arial" w:hAnsi="Arial" w:cs="Arial"/>
                <w:sz w:val="20"/>
                <w:szCs w:val="20"/>
                <w:lang w:val="en-GB"/>
              </w:rPr>
            </w:pPr>
          </w:p>
        </w:tc>
      </w:tr>
      <w:tr w:rsidR="00DC74D7" w:rsidRPr="009B39EC" w14:paraId="091E70FB" w14:textId="77777777" w:rsidTr="004860C4">
        <w:tc>
          <w:tcPr>
            <w:tcW w:w="216" w:type="pct"/>
            <w:shd w:val="clear" w:color="auto" w:fill="FBE4D5" w:themeFill="accent2" w:themeFillTint="33"/>
          </w:tcPr>
          <w:p w14:paraId="77A9DE81" w14:textId="77777777"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lastRenderedPageBreak/>
              <w:t>28.1</w:t>
            </w:r>
          </w:p>
        </w:tc>
        <w:tc>
          <w:tcPr>
            <w:tcW w:w="4784" w:type="pct"/>
            <w:gridSpan w:val="3"/>
            <w:shd w:val="clear" w:color="auto" w:fill="FBE4D5" w:themeFill="accent2" w:themeFillTint="33"/>
          </w:tcPr>
          <w:p w14:paraId="4CBE986A" w14:textId="77777777" w:rsidR="00DC74D7" w:rsidRPr="009B39EC" w:rsidRDefault="00DC74D7" w:rsidP="00DC74D7">
            <w:pPr>
              <w:jc w:val="both"/>
              <w:rPr>
                <w:rStyle w:val="normal10"/>
                <w:rFonts w:ascii="Arial" w:hAnsi="Arial" w:cs="Arial"/>
                <w:sz w:val="20"/>
                <w:szCs w:val="20"/>
                <w:lang w:val="en-GB"/>
              </w:rPr>
            </w:pPr>
            <w:r w:rsidRPr="009B39EC">
              <w:rPr>
                <w:rStyle w:val="normal10"/>
                <w:rFonts w:ascii="Arial" w:hAnsi="Arial" w:cs="Arial"/>
                <w:sz w:val="20"/>
                <w:szCs w:val="20"/>
                <w:lang w:val="en-GB"/>
              </w:rPr>
              <w:t>If yes, please indicate which authorities have the power to issue emergency barring orders:</w:t>
            </w:r>
          </w:p>
          <w:p w14:paraId="3EBD8EDC" w14:textId="1A1506D5" w:rsidR="00DC74D7" w:rsidRPr="009B39EC" w:rsidRDefault="00DC74D7" w:rsidP="00DC74D7">
            <w:pPr>
              <w:jc w:val="both"/>
              <w:rPr>
                <w:rFonts w:ascii="Arial" w:hAnsi="Arial" w:cs="Arial"/>
                <w:sz w:val="20"/>
                <w:szCs w:val="20"/>
                <w:lang w:val="en-GB"/>
              </w:rPr>
            </w:pPr>
          </w:p>
        </w:tc>
      </w:tr>
      <w:tr w:rsidR="00DC74D7" w:rsidRPr="009B39EC" w14:paraId="1F0DF449" w14:textId="77777777" w:rsidTr="004860C4">
        <w:tc>
          <w:tcPr>
            <w:tcW w:w="216" w:type="pct"/>
            <w:shd w:val="clear" w:color="auto" w:fill="FBE4D5" w:themeFill="accent2" w:themeFillTint="33"/>
          </w:tcPr>
          <w:p w14:paraId="6FE1059A" w14:textId="77777777"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28.2</w:t>
            </w:r>
          </w:p>
        </w:tc>
        <w:tc>
          <w:tcPr>
            <w:tcW w:w="4784" w:type="pct"/>
            <w:gridSpan w:val="3"/>
            <w:shd w:val="clear" w:color="auto" w:fill="FBE4D5" w:themeFill="accent2" w:themeFillTint="33"/>
          </w:tcPr>
          <w:p w14:paraId="46EA067B" w14:textId="77777777"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If yes, please indicate the length of time for which emergency barring orders may remain in force:</w:t>
            </w:r>
          </w:p>
          <w:p w14:paraId="0439235A" w14:textId="36820F4C" w:rsidR="00DC74D7" w:rsidRPr="009B39EC" w:rsidRDefault="00DC74D7" w:rsidP="00DC74D7">
            <w:pPr>
              <w:jc w:val="both"/>
              <w:rPr>
                <w:rFonts w:ascii="Arial" w:hAnsi="Arial" w:cs="Arial"/>
                <w:sz w:val="20"/>
                <w:szCs w:val="20"/>
                <w:lang w:val="en-GB"/>
              </w:rPr>
            </w:pPr>
          </w:p>
        </w:tc>
      </w:tr>
      <w:tr w:rsidR="00BF5668" w:rsidRPr="009B39EC" w14:paraId="3623F732" w14:textId="77777777" w:rsidTr="004860C4">
        <w:tc>
          <w:tcPr>
            <w:tcW w:w="216" w:type="pct"/>
            <w:shd w:val="clear" w:color="auto" w:fill="FBE4D5" w:themeFill="accent2" w:themeFillTint="33"/>
          </w:tcPr>
          <w:p w14:paraId="75615E05"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28.3</w:t>
            </w:r>
          </w:p>
        </w:tc>
        <w:tc>
          <w:tcPr>
            <w:tcW w:w="4784" w:type="pct"/>
            <w:gridSpan w:val="3"/>
            <w:shd w:val="clear" w:color="auto" w:fill="FBE4D5" w:themeFill="accent2" w:themeFillTint="33"/>
          </w:tcPr>
          <w:p w14:paraId="2567A0BB" w14:textId="3930BC57" w:rsidR="00BF5668" w:rsidRPr="009B39EC" w:rsidRDefault="00047815" w:rsidP="00BF5668">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BF5668" w:rsidRPr="009B39EC">
              <w:rPr>
                <w:rFonts w:ascii="Arial" w:hAnsi="Arial" w:cs="Arial"/>
                <w:sz w:val="20"/>
                <w:szCs w:val="20"/>
                <w:lang w:val="en-GB"/>
              </w:rPr>
              <w:t>:</w:t>
            </w:r>
          </w:p>
          <w:p w14:paraId="287BF2F2" w14:textId="77777777" w:rsidR="00BF5668" w:rsidRPr="009B39EC" w:rsidRDefault="00BF5668" w:rsidP="00BF5668">
            <w:pPr>
              <w:jc w:val="both"/>
              <w:rPr>
                <w:rFonts w:ascii="Arial" w:hAnsi="Arial" w:cs="Arial"/>
                <w:sz w:val="20"/>
                <w:szCs w:val="20"/>
                <w:lang w:val="en-GB"/>
              </w:rPr>
            </w:pPr>
          </w:p>
        </w:tc>
      </w:tr>
      <w:tr w:rsidR="00BF5668" w:rsidRPr="009B39EC" w14:paraId="384F1C5C" w14:textId="77777777" w:rsidTr="00047815">
        <w:tc>
          <w:tcPr>
            <w:tcW w:w="216" w:type="pct"/>
            <w:vMerge w:val="restart"/>
          </w:tcPr>
          <w:p w14:paraId="1CCF055E"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29</w:t>
            </w:r>
          </w:p>
        </w:tc>
        <w:tc>
          <w:tcPr>
            <w:tcW w:w="3497" w:type="pct"/>
          </w:tcPr>
          <w:p w14:paraId="4D0DB692" w14:textId="2F235A69" w:rsidR="00BF5668" w:rsidRPr="009B39EC" w:rsidRDefault="00DC74D7" w:rsidP="00BF5668">
            <w:pPr>
              <w:pStyle w:val="NoSpacing"/>
              <w:jc w:val="both"/>
              <w:rPr>
                <w:rFonts w:ascii="Arial" w:hAnsi="Arial" w:cs="Arial"/>
                <w:sz w:val="20"/>
                <w:szCs w:val="20"/>
                <w:lang w:val="en-GB"/>
              </w:rPr>
            </w:pPr>
            <w:r w:rsidRPr="009B39EC">
              <w:rPr>
                <w:rFonts w:ascii="Arial" w:hAnsi="Arial" w:cs="Arial"/>
                <w:sz w:val="20"/>
                <w:szCs w:val="20"/>
                <w:lang w:val="en-GB"/>
              </w:rPr>
              <w:t>Have your authorities taken measures contributing to ensure the availability of restraining or protection orders to victims of the following forms of violence against women</w:t>
            </w:r>
            <w:r w:rsidR="007151ED" w:rsidRPr="009B39EC">
              <w:rPr>
                <w:rFonts w:ascii="Arial" w:hAnsi="Arial" w:cs="Arial"/>
                <w:sz w:val="20"/>
                <w:szCs w:val="20"/>
                <w:lang w:val="en-GB"/>
              </w:rPr>
              <w:t>?</w:t>
            </w:r>
          </w:p>
        </w:tc>
        <w:tc>
          <w:tcPr>
            <w:tcW w:w="800" w:type="pct"/>
          </w:tcPr>
          <w:p w14:paraId="2221ED8F" w14:textId="77777777" w:rsidR="00BF5668" w:rsidRPr="009B39EC" w:rsidRDefault="00BF5668" w:rsidP="00BF5668">
            <w:pPr>
              <w:jc w:val="both"/>
              <w:rPr>
                <w:rFonts w:ascii="Arial" w:hAnsi="Arial" w:cs="Arial"/>
                <w:sz w:val="20"/>
                <w:szCs w:val="20"/>
                <w:lang w:val="en-GB"/>
              </w:rPr>
            </w:pPr>
          </w:p>
        </w:tc>
        <w:tc>
          <w:tcPr>
            <w:tcW w:w="487" w:type="pct"/>
          </w:tcPr>
          <w:p w14:paraId="0AA35DB8" w14:textId="77777777" w:rsidR="00BF5668" w:rsidRPr="009B39EC" w:rsidRDefault="00BF5668" w:rsidP="00BF5668">
            <w:pPr>
              <w:jc w:val="both"/>
              <w:rPr>
                <w:rFonts w:ascii="Arial" w:hAnsi="Arial" w:cs="Arial"/>
                <w:sz w:val="20"/>
                <w:szCs w:val="20"/>
                <w:lang w:val="en-GB"/>
              </w:rPr>
            </w:pPr>
          </w:p>
        </w:tc>
      </w:tr>
      <w:tr w:rsidR="00DC74D7" w:rsidRPr="009B39EC" w14:paraId="7F0AD5A3" w14:textId="77777777" w:rsidTr="00047815">
        <w:tc>
          <w:tcPr>
            <w:tcW w:w="216" w:type="pct"/>
            <w:vMerge/>
          </w:tcPr>
          <w:p w14:paraId="4DFFB7F5" w14:textId="77777777" w:rsidR="00DC74D7" w:rsidRPr="009B39EC" w:rsidRDefault="00DC74D7" w:rsidP="00DC74D7">
            <w:pPr>
              <w:jc w:val="both"/>
              <w:rPr>
                <w:rFonts w:ascii="Arial" w:hAnsi="Arial" w:cs="Arial"/>
                <w:sz w:val="20"/>
                <w:szCs w:val="20"/>
                <w:lang w:val="en-GB"/>
              </w:rPr>
            </w:pPr>
          </w:p>
        </w:tc>
        <w:tc>
          <w:tcPr>
            <w:tcW w:w="3497" w:type="pct"/>
          </w:tcPr>
          <w:p w14:paraId="6641173B" w14:textId="5E9B1B7F"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Domestic violence</w:t>
            </w:r>
          </w:p>
        </w:tc>
        <w:tc>
          <w:tcPr>
            <w:tcW w:w="800" w:type="pct"/>
          </w:tcPr>
          <w:p w14:paraId="6A251B7B" w14:textId="44C6DFDA" w:rsidR="00DC74D7" w:rsidRPr="009B39EC" w:rsidRDefault="00DC74D7" w:rsidP="00DC74D7">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1314828950"/>
                <w14:checkbox>
                  <w14:checked w14:val="1"/>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tcPr>
          <w:p w14:paraId="2C9C30DA" w14:textId="4FA7F20F"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1905051396"/>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r>
      <w:tr w:rsidR="00DC74D7" w:rsidRPr="009B39EC" w14:paraId="5F7E38BD" w14:textId="77777777" w:rsidTr="00047815">
        <w:tc>
          <w:tcPr>
            <w:tcW w:w="216" w:type="pct"/>
            <w:vMerge/>
          </w:tcPr>
          <w:p w14:paraId="5DB2C221" w14:textId="77777777" w:rsidR="00DC74D7" w:rsidRPr="009B39EC" w:rsidRDefault="00DC74D7" w:rsidP="00DC74D7">
            <w:pPr>
              <w:jc w:val="both"/>
              <w:rPr>
                <w:rFonts w:ascii="Arial" w:hAnsi="Arial" w:cs="Arial"/>
                <w:sz w:val="20"/>
                <w:szCs w:val="20"/>
                <w:lang w:val="en-GB"/>
              </w:rPr>
            </w:pPr>
          </w:p>
        </w:tc>
        <w:tc>
          <w:tcPr>
            <w:tcW w:w="3497" w:type="pct"/>
          </w:tcPr>
          <w:p w14:paraId="2DCE45D4" w14:textId="2539C693"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Stalking</w:t>
            </w:r>
          </w:p>
        </w:tc>
        <w:tc>
          <w:tcPr>
            <w:tcW w:w="800" w:type="pct"/>
          </w:tcPr>
          <w:p w14:paraId="5D59A7B0" w14:textId="315A1C06"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2128341168"/>
                <w14:checkbox>
                  <w14:checked w14:val="0"/>
                  <w14:checkedState w14:val="2612" w14:font="MS Gothic"/>
                  <w14:uncheckedState w14:val="2610" w14:font="MS Gothic"/>
                </w14:checkbox>
              </w:sdtPr>
              <w:sdtEndPr/>
              <w:sdtContent>
                <w:r w:rsidR="00264CE2" w:rsidRPr="009B39EC">
                  <w:rPr>
                    <w:rFonts w:ascii="Segoe UI Symbol" w:eastAsia="MS Gothic" w:hAnsi="Segoe UI Symbol" w:cs="Segoe UI Symbol"/>
                    <w:sz w:val="20"/>
                    <w:szCs w:val="20"/>
                    <w:lang w:val="en-GB"/>
                  </w:rPr>
                  <w:t>☐</w:t>
                </w:r>
              </w:sdtContent>
            </w:sdt>
          </w:p>
        </w:tc>
        <w:tc>
          <w:tcPr>
            <w:tcW w:w="487" w:type="pct"/>
          </w:tcPr>
          <w:p w14:paraId="5382E453" w14:textId="3B6F213B"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277141836"/>
                <w14:checkbox>
                  <w14:checked w14:val="1"/>
                  <w14:checkedState w14:val="2612" w14:font="MS Gothic"/>
                  <w14:uncheckedState w14:val="2610" w14:font="MS Gothic"/>
                </w14:checkbox>
              </w:sdtPr>
              <w:sdtEndPr/>
              <w:sdtContent>
                <w:r w:rsidR="00264CE2" w:rsidRPr="009B39EC">
                  <w:rPr>
                    <w:rFonts w:ascii="Segoe UI Symbol" w:eastAsia="MS Gothic" w:hAnsi="Segoe UI Symbol" w:cs="Segoe UI Symbol"/>
                    <w:b/>
                    <w:bCs/>
                    <w:sz w:val="20"/>
                    <w:szCs w:val="20"/>
                    <w:lang w:val="en-GB"/>
                  </w:rPr>
                  <w:t>☒</w:t>
                </w:r>
              </w:sdtContent>
            </w:sdt>
          </w:p>
        </w:tc>
      </w:tr>
      <w:tr w:rsidR="00DC74D7" w:rsidRPr="009B39EC" w14:paraId="3A638EC1" w14:textId="77777777" w:rsidTr="00047815">
        <w:tc>
          <w:tcPr>
            <w:tcW w:w="216" w:type="pct"/>
            <w:vMerge/>
          </w:tcPr>
          <w:p w14:paraId="08539CC8" w14:textId="77777777" w:rsidR="00DC74D7" w:rsidRPr="009B39EC" w:rsidRDefault="00DC74D7" w:rsidP="00DC74D7">
            <w:pPr>
              <w:jc w:val="both"/>
              <w:rPr>
                <w:rFonts w:ascii="Arial" w:hAnsi="Arial" w:cs="Arial"/>
                <w:sz w:val="20"/>
                <w:szCs w:val="20"/>
                <w:lang w:val="en-GB"/>
              </w:rPr>
            </w:pPr>
          </w:p>
        </w:tc>
        <w:tc>
          <w:tcPr>
            <w:tcW w:w="3497" w:type="pct"/>
          </w:tcPr>
          <w:p w14:paraId="0AB24A46" w14:textId="3CF4EEC0"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Sexual violence</w:t>
            </w:r>
          </w:p>
        </w:tc>
        <w:tc>
          <w:tcPr>
            <w:tcW w:w="800" w:type="pct"/>
          </w:tcPr>
          <w:p w14:paraId="74D819F2" w14:textId="2A04D72E"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692061775"/>
                <w14:checkbox>
                  <w14:checked w14:val="0"/>
                  <w14:checkedState w14:val="2612" w14:font="MS Gothic"/>
                  <w14:uncheckedState w14:val="2610" w14:font="MS Gothic"/>
                </w14:checkbox>
              </w:sdtPr>
              <w:sdtEndPr/>
              <w:sdtContent>
                <w:r w:rsidR="00264CE2" w:rsidRPr="009B39EC">
                  <w:rPr>
                    <w:rFonts w:ascii="Segoe UI Symbol" w:eastAsia="MS Gothic" w:hAnsi="Segoe UI Symbol" w:cs="Segoe UI Symbol"/>
                    <w:sz w:val="20"/>
                    <w:szCs w:val="20"/>
                    <w:lang w:val="en-GB"/>
                  </w:rPr>
                  <w:t>☐</w:t>
                </w:r>
              </w:sdtContent>
            </w:sdt>
          </w:p>
        </w:tc>
        <w:tc>
          <w:tcPr>
            <w:tcW w:w="487" w:type="pct"/>
          </w:tcPr>
          <w:p w14:paraId="216853CC" w14:textId="60D0D50B"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249885401"/>
                <w14:checkbox>
                  <w14:checked w14:val="1"/>
                  <w14:checkedState w14:val="2612" w14:font="MS Gothic"/>
                  <w14:uncheckedState w14:val="2610" w14:font="MS Gothic"/>
                </w14:checkbox>
              </w:sdtPr>
              <w:sdtEndPr/>
              <w:sdtContent>
                <w:r w:rsidR="00264CE2" w:rsidRPr="009B39EC">
                  <w:rPr>
                    <w:rFonts w:ascii="Segoe UI Symbol" w:eastAsia="MS Gothic" w:hAnsi="Segoe UI Symbol" w:cs="Segoe UI Symbol"/>
                    <w:b/>
                    <w:bCs/>
                    <w:sz w:val="20"/>
                    <w:szCs w:val="20"/>
                    <w:lang w:val="en-GB"/>
                  </w:rPr>
                  <w:t>☒</w:t>
                </w:r>
              </w:sdtContent>
            </w:sdt>
          </w:p>
        </w:tc>
      </w:tr>
      <w:tr w:rsidR="00DC74D7" w:rsidRPr="009B39EC" w14:paraId="4940D135" w14:textId="77777777" w:rsidTr="00047815">
        <w:tc>
          <w:tcPr>
            <w:tcW w:w="216" w:type="pct"/>
            <w:vMerge/>
          </w:tcPr>
          <w:p w14:paraId="18684D32" w14:textId="77777777" w:rsidR="00DC74D7" w:rsidRPr="009B39EC" w:rsidRDefault="00DC74D7" w:rsidP="00DC74D7">
            <w:pPr>
              <w:jc w:val="both"/>
              <w:rPr>
                <w:rFonts w:ascii="Arial" w:hAnsi="Arial" w:cs="Arial"/>
                <w:sz w:val="20"/>
                <w:szCs w:val="20"/>
                <w:lang w:val="en-GB"/>
              </w:rPr>
            </w:pPr>
          </w:p>
        </w:tc>
        <w:tc>
          <w:tcPr>
            <w:tcW w:w="3497" w:type="pct"/>
          </w:tcPr>
          <w:p w14:paraId="74662AC9" w14:textId="6A064655"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Sexual harassment</w:t>
            </w:r>
          </w:p>
        </w:tc>
        <w:tc>
          <w:tcPr>
            <w:tcW w:w="800" w:type="pct"/>
          </w:tcPr>
          <w:p w14:paraId="0E8466FF" w14:textId="4CE43BEF"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444846024"/>
                <w14:checkbox>
                  <w14:checked w14:val="0"/>
                  <w14:checkedState w14:val="2612" w14:font="MS Gothic"/>
                  <w14:uncheckedState w14:val="2610" w14:font="MS Gothic"/>
                </w14:checkbox>
              </w:sdtPr>
              <w:sdtEndPr/>
              <w:sdtContent>
                <w:r w:rsidR="00264CE2" w:rsidRPr="009B39EC">
                  <w:rPr>
                    <w:rFonts w:ascii="Segoe UI Symbol" w:eastAsia="MS Gothic" w:hAnsi="Segoe UI Symbol" w:cs="Segoe UI Symbol"/>
                    <w:sz w:val="20"/>
                    <w:szCs w:val="20"/>
                    <w:lang w:val="en-GB"/>
                  </w:rPr>
                  <w:t>☐</w:t>
                </w:r>
              </w:sdtContent>
            </w:sdt>
          </w:p>
        </w:tc>
        <w:tc>
          <w:tcPr>
            <w:tcW w:w="487" w:type="pct"/>
          </w:tcPr>
          <w:p w14:paraId="086FEF6D" w14:textId="6CC032D8"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696047838"/>
                <w14:checkbox>
                  <w14:checked w14:val="1"/>
                  <w14:checkedState w14:val="2612" w14:font="MS Gothic"/>
                  <w14:uncheckedState w14:val="2610" w14:font="MS Gothic"/>
                </w14:checkbox>
              </w:sdtPr>
              <w:sdtEndPr/>
              <w:sdtContent>
                <w:r w:rsidR="00264CE2" w:rsidRPr="009B39EC">
                  <w:rPr>
                    <w:rFonts w:ascii="Segoe UI Symbol" w:eastAsia="MS Gothic" w:hAnsi="Segoe UI Symbol" w:cs="Segoe UI Symbol"/>
                    <w:b/>
                    <w:bCs/>
                    <w:sz w:val="20"/>
                    <w:szCs w:val="20"/>
                    <w:lang w:val="en-GB"/>
                  </w:rPr>
                  <w:t>☒</w:t>
                </w:r>
              </w:sdtContent>
            </w:sdt>
          </w:p>
        </w:tc>
      </w:tr>
      <w:tr w:rsidR="00DC74D7" w:rsidRPr="009B39EC" w14:paraId="3603C129" w14:textId="77777777" w:rsidTr="00047815">
        <w:tc>
          <w:tcPr>
            <w:tcW w:w="216" w:type="pct"/>
            <w:vMerge/>
          </w:tcPr>
          <w:p w14:paraId="56A6C953" w14:textId="77777777" w:rsidR="00DC74D7" w:rsidRPr="009B39EC" w:rsidRDefault="00DC74D7" w:rsidP="00DC74D7">
            <w:pPr>
              <w:jc w:val="both"/>
              <w:rPr>
                <w:rFonts w:ascii="Arial" w:hAnsi="Arial" w:cs="Arial"/>
                <w:sz w:val="20"/>
                <w:szCs w:val="20"/>
                <w:lang w:val="en-GB"/>
              </w:rPr>
            </w:pPr>
          </w:p>
        </w:tc>
        <w:tc>
          <w:tcPr>
            <w:tcW w:w="3497" w:type="pct"/>
          </w:tcPr>
          <w:p w14:paraId="578664A5" w14:textId="6040943B"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Forced marriage</w:t>
            </w:r>
          </w:p>
        </w:tc>
        <w:tc>
          <w:tcPr>
            <w:tcW w:w="800" w:type="pct"/>
          </w:tcPr>
          <w:p w14:paraId="59CFF292" w14:textId="1AD94123"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829871024"/>
                <w14:checkbox>
                  <w14:checked w14:val="0"/>
                  <w14:checkedState w14:val="2612" w14:font="MS Gothic"/>
                  <w14:uncheckedState w14:val="2610" w14:font="MS Gothic"/>
                </w14:checkbox>
              </w:sdtPr>
              <w:sdtEndPr/>
              <w:sdtContent>
                <w:r w:rsidR="00264CE2" w:rsidRPr="009B39EC">
                  <w:rPr>
                    <w:rFonts w:ascii="Segoe UI Symbol" w:eastAsia="MS Gothic" w:hAnsi="Segoe UI Symbol" w:cs="Segoe UI Symbol"/>
                    <w:sz w:val="20"/>
                    <w:szCs w:val="20"/>
                    <w:lang w:val="en-GB"/>
                  </w:rPr>
                  <w:t>☐</w:t>
                </w:r>
              </w:sdtContent>
            </w:sdt>
          </w:p>
        </w:tc>
        <w:tc>
          <w:tcPr>
            <w:tcW w:w="487" w:type="pct"/>
          </w:tcPr>
          <w:p w14:paraId="1999A2B5" w14:textId="5BF92A61"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1719393232"/>
                <w14:checkbox>
                  <w14:checked w14:val="1"/>
                  <w14:checkedState w14:val="2612" w14:font="MS Gothic"/>
                  <w14:uncheckedState w14:val="2610" w14:font="MS Gothic"/>
                </w14:checkbox>
              </w:sdtPr>
              <w:sdtEndPr/>
              <w:sdtContent>
                <w:r w:rsidR="00264CE2" w:rsidRPr="009B39EC">
                  <w:rPr>
                    <w:rFonts w:ascii="Segoe UI Symbol" w:eastAsia="MS Gothic" w:hAnsi="Segoe UI Symbol" w:cs="Segoe UI Symbol"/>
                    <w:b/>
                    <w:bCs/>
                    <w:sz w:val="20"/>
                    <w:szCs w:val="20"/>
                    <w:lang w:val="en-GB"/>
                  </w:rPr>
                  <w:t>☒</w:t>
                </w:r>
              </w:sdtContent>
            </w:sdt>
          </w:p>
        </w:tc>
      </w:tr>
      <w:tr w:rsidR="00DC74D7" w:rsidRPr="009B39EC" w14:paraId="055BED7C" w14:textId="77777777" w:rsidTr="00047815">
        <w:tc>
          <w:tcPr>
            <w:tcW w:w="216" w:type="pct"/>
            <w:vMerge/>
          </w:tcPr>
          <w:p w14:paraId="49161FB4" w14:textId="77777777" w:rsidR="00DC74D7" w:rsidRPr="009B39EC" w:rsidRDefault="00DC74D7" w:rsidP="00DC74D7">
            <w:pPr>
              <w:jc w:val="both"/>
              <w:rPr>
                <w:rFonts w:ascii="Arial" w:hAnsi="Arial" w:cs="Arial"/>
                <w:sz w:val="20"/>
                <w:szCs w:val="20"/>
                <w:lang w:val="en-GB"/>
              </w:rPr>
            </w:pPr>
          </w:p>
        </w:tc>
        <w:tc>
          <w:tcPr>
            <w:tcW w:w="3497" w:type="pct"/>
          </w:tcPr>
          <w:p w14:paraId="70CB261D" w14:textId="57C37E41"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Female genital mutilation</w:t>
            </w:r>
          </w:p>
        </w:tc>
        <w:tc>
          <w:tcPr>
            <w:tcW w:w="800" w:type="pct"/>
          </w:tcPr>
          <w:p w14:paraId="3C820BB0" w14:textId="6DA5FF1F"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415596259"/>
                <w14:checkbox>
                  <w14:checked w14:val="0"/>
                  <w14:checkedState w14:val="2612" w14:font="MS Gothic"/>
                  <w14:uncheckedState w14:val="2610" w14:font="MS Gothic"/>
                </w14:checkbox>
              </w:sdtPr>
              <w:sdtEndPr/>
              <w:sdtContent>
                <w:r w:rsidRPr="009B39EC">
                  <w:rPr>
                    <w:rFonts w:ascii="Segoe UI Symbol" w:eastAsia="MS Gothic" w:hAnsi="Segoe UI Symbol" w:cs="Segoe UI Symbol"/>
                    <w:sz w:val="20"/>
                    <w:szCs w:val="20"/>
                    <w:lang w:val="en-GB"/>
                  </w:rPr>
                  <w:t>☐</w:t>
                </w:r>
              </w:sdtContent>
            </w:sdt>
          </w:p>
        </w:tc>
        <w:tc>
          <w:tcPr>
            <w:tcW w:w="487" w:type="pct"/>
          </w:tcPr>
          <w:p w14:paraId="6407412B" w14:textId="58447E72"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767741202"/>
                <w14:checkbox>
                  <w14:checked w14:val="1"/>
                  <w14:checkedState w14:val="2612" w14:font="MS Gothic"/>
                  <w14:uncheckedState w14:val="2610" w14:font="MS Gothic"/>
                </w14:checkbox>
              </w:sdtPr>
              <w:sdtEndPr/>
              <w:sdtContent>
                <w:r w:rsidRPr="009B39EC">
                  <w:rPr>
                    <w:rFonts w:ascii="Segoe UI Symbol" w:eastAsia="MS Gothic" w:hAnsi="Segoe UI Symbol" w:cs="Segoe UI Symbol"/>
                    <w:b/>
                    <w:bCs/>
                    <w:sz w:val="20"/>
                    <w:szCs w:val="20"/>
                    <w:lang w:val="en-GB"/>
                  </w:rPr>
                  <w:t>☒</w:t>
                </w:r>
              </w:sdtContent>
            </w:sdt>
          </w:p>
        </w:tc>
      </w:tr>
      <w:tr w:rsidR="00DC74D7" w:rsidRPr="009B39EC" w14:paraId="3B20629E" w14:textId="77777777" w:rsidTr="00047815">
        <w:tc>
          <w:tcPr>
            <w:tcW w:w="216" w:type="pct"/>
            <w:vMerge/>
          </w:tcPr>
          <w:p w14:paraId="32B25FE0" w14:textId="77777777" w:rsidR="00DC74D7" w:rsidRPr="009B39EC" w:rsidRDefault="00DC74D7" w:rsidP="00DC74D7">
            <w:pPr>
              <w:jc w:val="both"/>
              <w:rPr>
                <w:rFonts w:ascii="Arial" w:hAnsi="Arial" w:cs="Arial"/>
                <w:sz w:val="20"/>
                <w:szCs w:val="20"/>
                <w:lang w:val="en-GB"/>
              </w:rPr>
            </w:pPr>
          </w:p>
        </w:tc>
        <w:tc>
          <w:tcPr>
            <w:tcW w:w="3497" w:type="pct"/>
          </w:tcPr>
          <w:p w14:paraId="0014E633" w14:textId="0C3271F4"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Forced abortion</w:t>
            </w:r>
          </w:p>
        </w:tc>
        <w:tc>
          <w:tcPr>
            <w:tcW w:w="800" w:type="pct"/>
          </w:tcPr>
          <w:p w14:paraId="3CCFF37E" w14:textId="2746A97F"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704939755"/>
                <w14:checkbox>
                  <w14:checked w14:val="0"/>
                  <w14:checkedState w14:val="2612" w14:font="MS Gothic"/>
                  <w14:uncheckedState w14:val="2610" w14:font="MS Gothic"/>
                </w14:checkbox>
              </w:sdtPr>
              <w:sdtEndPr/>
              <w:sdtContent>
                <w:r w:rsidR="00264CE2" w:rsidRPr="009B39EC">
                  <w:rPr>
                    <w:rFonts w:ascii="Segoe UI Symbol" w:eastAsia="MS Gothic" w:hAnsi="Segoe UI Symbol" w:cs="Segoe UI Symbol"/>
                    <w:sz w:val="20"/>
                    <w:szCs w:val="20"/>
                    <w:lang w:val="en-GB"/>
                  </w:rPr>
                  <w:t>☐</w:t>
                </w:r>
              </w:sdtContent>
            </w:sdt>
          </w:p>
        </w:tc>
        <w:tc>
          <w:tcPr>
            <w:tcW w:w="487" w:type="pct"/>
          </w:tcPr>
          <w:p w14:paraId="10BCEEC3" w14:textId="1541F7F2"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350841307"/>
                <w14:checkbox>
                  <w14:checked w14:val="1"/>
                  <w14:checkedState w14:val="2612" w14:font="MS Gothic"/>
                  <w14:uncheckedState w14:val="2610" w14:font="MS Gothic"/>
                </w14:checkbox>
              </w:sdtPr>
              <w:sdtEndPr/>
              <w:sdtContent>
                <w:r w:rsidR="00264CE2" w:rsidRPr="009B39EC">
                  <w:rPr>
                    <w:rFonts w:ascii="Segoe UI Symbol" w:eastAsia="MS Gothic" w:hAnsi="Segoe UI Symbol" w:cs="Segoe UI Symbol"/>
                    <w:b/>
                    <w:bCs/>
                    <w:sz w:val="20"/>
                    <w:szCs w:val="20"/>
                    <w:lang w:val="en-GB"/>
                  </w:rPr>
                  <w:t>☒</w:t>
                </w:r>
              </w:sdtContent>
            </w:sdt>
          </w:p>
        </w:tc>
      </w:tr>
      <w:tr w:rsidR="00DC74D7" w:rsidRPr="009B39EC" w14:paraId="4E4672C6" w14:textId="77777777" w:rsidTr="00047815">
        <w:tc>
          <w:tcPr>
            <w:tcW w:w="216" w:type="pct"/>
            <w:vMerge/>
          </w:tcPr>
          <w:p w14:paraId="64740E94" w14:textId="77777777" w:rsidR="00DC74D7" w:rsidRPr="009B39EC" w:rsidRDefault="00DC74D7" w:rsidP="00DC74D7">
            <w:pPr>
              <w:jc w:val="both"/>
              <w:rPr>
                <w:rFonts w:ascii="Arial" w:hAnsi="Arial" w:cs="Arial"/>
                <w:sz w:val="20"/>
                <w:szCs w:val="20"/>
                <w:lang w:val="en-GB"/>
              </w:rPr>
            </w:pPr>
          </w:p>
        </w:tc>
        <w:tc>
          <w:tcPr>
            <w:tcW w:w="3497" w:type="pct"/>
          </w:tcPr>
          <w:p w14:paraId="064A4FC6" w14:textId="77777777" w:rsidR="00DC74D7" w:rsidRPr="009B39EC" w:rsidRDefault="00DC74D7" w:rsidP="00DC74D7">
            <w:pPr>
              <w:pStyle w:val="NoSpacing"/>
              <w:numPr>
                <w:ilvl w:val="0"/>
                <w:numId w:val="4"/>
              </w:numPr>
              <w:jc w:val="both"/>
              <w:rPr>
                <w:rFonts w:ascii="Arial" w:hAnsi="Arial" w:cs="Arial"/>
                <w:sz w:val="20"/>
                <w:szCs w:val="20"/>
                <w:lang w:val="en-GB"/>
              </w:rPr>
            </w:pPr>
            <w:r w:rsidRPr="009B39EC">
              <w:rPr>
                <w:rFonts w:ascii="Arial" w:hAnsi="Arial" w:cs="Arial"/>
                <w:sz w:val="20"/>
                <w:szCs w:val="20"/>
                <w:lang w:val="en-GB"/>
              </w:rPr>
              <w:t>Forced sterilisation</w:t>
            </w:r>
          </w:p>
          <w:p w14:paraId="2C92AFFF" w14:textId="77777777" w:rsidR="00DC74D7" w:rsidRPr="009B39EC" w:rsidRDefault="00DC74D7" w:rsidP="00DC74D7">
            <w:pPr>
              <w:pStyle w:val="NoSpacing"/>
              <w:jc w:val="both"/>
              <w:rPr>
                <w:rFonts w:ascii="Arial" w:hAnsi="Arial" w:cs="Arial"/>
                <w:sz w:val="20"/>
                <w:szCs w:val="20"/>
                <w:lang w:val="en-GB"/>
              </w:rPr>
            </w:pPr>
          </w:p>
        </w:tc>
        <w:tc>
          <w:tcPr>
            <w:tcW w:w="800" w:type="pct"/>
          </w:tcPr>
          <w:p w14:paraId="1276874E" w14:textId="386757FF" w:rsidR="00DC74D7" w:rsidRPr="009B39EC" w:rsidRDefault="00DC74D7" w:rsidP="00DC74D7">
            <w:pPr>
              <w:jc w:val="both"/>
              <w:rPr>
                <w:rFonts w:ascii="Arial" w:hAnsi="Arial" w:cs="Arial"/>
                <w:sz w:val="20"/>
                <w:szCs w:val="20"/>
                <w:lang w:val="en-GB"/>
              </w:rPr>
            </w:pPr>
            <w:r w:rsidRPr="009B39EC">
              <w:rPr>
                <w:rFonts w:ascii="Arial" w:hAnsi="Arial" w:cs="Arial"/>
                <w:sz w:val="20"/>
                <w:szCs w:val="20"/>
                <w:lang w:val="en-GB"/>
              </w:rPr>
              <w:t xml:space="preserve">Yes </w:t>
            </w:r>
            <w:sdt>
              <w:sdtPr>
                <w:rPr>
                  <w:rFonts w:ascii="Arial" w:hAnsi="Arial" w:cs="Arial"/>
                  <w:sz w:val="20"/>
                  <w:szCs w:val="20"/>
                  <w:lang w:val="en-GB"/>
                </w:rPr>
                <w:id w:val="1629359948"/>
                <w14:checkbox>
                  <w14:checked w14:val="0"/>
                  <w14:checkedState w14:val="2612" w14:font="MS Gothic"/>
                  <w14:uncheckedState w14:val="2610" w14:font="MS Gothic"/>
                </w14:checkbox>
              </w:sdtPr>
              <w:sdtEndPr/>
              <w:sdtContent>
                <w:r w:rsidR="00264CE2" w:rsidRPr="009B39EC">
                  <w:rPr>
                    <w:rFonts w:ascii="Segoe UI Symbol" w:eastAsia="MS Gothic" w:hAnsi="Segoe UI Symbol" w:cs="Segoe UI Symbol"/>
                    <w:sz w:val="20"/>
                    <w:szCs w:val="20"/>
                    <w:lang w:val="en-GB"/>
                  </w:rPr>
                  <w:t>☐</w:t>
                </w:r>
              </w:sdtContent>
            </w:sdt>
          </w:p>
        </w:tc>
        <w:tc>
          <w:tcPr>
            <w:tcW w:w="487" w:type="pct"/>
          </w:tcPr>
          <w:p w14:paraId="6831819E" w14:textId="0E646F28" w:rsidR="00DC74D7" w:rsidRPr="009B39EC" w:rsidRDefault="00DC74D7" w:rsidP="00DC74D7">
            <w:pPr>
              <w:jc w:val="both"/>
              <w:rPr>
                <w:rFonts w:ascii="Arial" w:hAnsi="Arial" w:cs="Arial"/>
                <w:b/>
                <w:bCs/>
                <w:sz w:val="20"/>
                <w:szCs w:val="20"/>
                <w:lang w:val="en-GB"/>
              </w:rPr>
            </w:pPr>
            <w:r w:rsidRPr="009B39EC">
              <w:rPr>
                <w:rFonts w:ascii="Arial" w:hAnsi="Arial" w:cs="Arial"/>
                <w:b/>
                <w:bCs/>
                <w:sz w:val="20"/>
                <w:szCs w:val="20"/>
                <w:lang w:val="en-GB"/>
              </w:rPr>
              <w:t xml:space="preserve">No </w:t>
            </w:r>
            <w:sdt>
              <w:sdtPr>
                <w:rPr>
                  <w:rFonts w:ascii="Arial" w:hAnsi="Arial" w:cs="Arial"/>
                  <w:b/>
                  <w:bCs/>
                  <w:sz w:val="20"/>
                  <w:szCs w:val="20"/>
                  <w:lang w:val="en-GB"/>
                </w:rPr>
                <w:id w:val="384770982"/>
                <w14:checkbox>
                  <w14:checked w14:val="1"/>
                  <w14:checkedState w14:val="2612" w14:font="MS Gothic"/>
                  <w14:uncheckedState w14:val="2610" w14:font="MS Gothic"/>
                </w14:checkbox>
              </w:sdtPr>
              <w:sdtEndPr/>
              <w:sdtContent>
                <w:r w:rsidR="00264CE2" w:rsidRPr="009B39EC">
                  <w:rPr>
                    <w:rFonts w:ascii="Segoe UI Symbol" w:eastAsia="MS Gothic" w:hAnsi="Segoe UI Symbol" w:cs="Segoe UI Symbol"/>
                    <w:b/>
                    <w:bCs/>
                    <w:sz w:val="20"/>
                    <w:szCs w:val="20"/>
                    <w:lang w:val="en-GB"/>
                  </w:rPr>
                  <w:t>☒</w:t>
                </w:r>
              </w:sdtContent>
            </w:sdt>
          </w:p>
        </w:tc>
      </w:tr>
      <w:tr w:rsidR="00BF5668" w:rsidRPr="009B39EC" w14:paraId="3E26C4F4" w14:textId="77777777" w:rsidTr="004860C4">
        <w:tc>
          <w:tcPr>
            <w:tcW w:w="216" w:type="pct"/>
          </w:tcPr>
          <w:p w14:paraId="7FADF0BD"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29.1</w:t>
            </w:r>
          </w:p>
        </w:tc>
        <w:tc>
          <w:tcPr>
            <w:tcW w:w="4784" w:type="pct"/>
            <w:gridSpan w:val="3"/>
          </w:tcPr>
          <w:p w14:paraId="372047D6" w14:textId="23992870" w:rsidR="00FF5CBB" w:rsidRPr="009B39EC" w:rsidRDefault="002A16E9" w:rsidP="00FF5CBB">
            <w:pPr>
              <w:jc w:val="both"/>
              <w:rPr>
                <w:rFonts w:ascii="Arial" w:hAnsi="Arial" w:cs="Arial"/>
                <w:sz w:val="20"/>
                <w:szCs w:val="20"/>
                <w:lang w:val="en-GB"/>
              </w:rPr>
            </w:pPr>
            <w:r w:rsidRPr="009B39EC">
              <w:rPr>
                <w:rFonts w:ascii="Arial" w:hAnsi="Arial" w:cs="Arial"/>
                <w:sz w:val="20"/>
                <w:szCs w:val="20"/>
                <w:lang w:val="en-GB"/>
              </w:rPr>
              <w:t>If yes, please specify</w:t>
            </w:r>
            <w:r w:rsidR="00FF5CBB" w:rsidRPr="009B39EC">
              <w:rPr>
                <w:rFonts w:ascii="Arial" w:hAnsi="Arial" w:cs="Arial"/>
                <w:sz w:val="20"/>
                <w:szCs w:val="20"/>
                <w:lang w:val="en-GB"/>
              </w:rPr>
              <w:t>:</w:t>
            </w:r>
          </w:p>
          <w:p w14:paraId="5199F58C" w14:textId="1A6DD15B" w:rsidR="00111FD4" w:rsidRPr="009B39EC" w:rsidRDefault="00111FD4" w:rsidP="00FF5CBB">
            <w:pPr>
              <w:jc w:val="both"/>
              <w:rPr>
                <w:rFonts w:ascii="Arial" w:hAnsi="Arial" w:cs="Arial"/>
                <w:sz w:val="20"/>
                <w:szCs w:val="20"/>
                <w:lang w:val="en-GB"/>
              </w:rPr>
            </w:pPr>
          </w:p>
          <w:p w14:paraId="34C3A311" w14:textId="7017597F" w:rsidR="00EB27FB" w:rsidRPr="009B39EC" w:rsidRDefault="002B0327" w:rsidP="00EB27FB">
            <w:pPr>
              <w:jc w:val="both"/>
              <w:rPr>
                <w:rFonts w:ascii="Arial" w:hAnsi="Arial" w:cs="Arial"/>
                <w:sz w:val="20"/>
                <w:szCs w:val="20"/>
                <w:lang w:val="en-GB"/>
              </w:rPr>
            </w:pPr>
            <w:r w:rsidRPr="009B39EC">
              <w:rPr>
                <w:rFonts w:ascii="Arial" w:hAnsi="Arial" w:cs="Arial"/>
                <w:sz w:val="20"/>
                <w:szCs w:val="20"/>
                <w:lang w:val="en-GB"/>
              </w:rPr>
              <w:t>Law No.</w:t>
            </w:r>
            <w:r w:rsidR="00EB27FB" w:rsidRPr="009B39EC">
              <w:rPr>
                <w:rFonts w:ascii="Arial" w:hAnsi="Arial" w:cs="Arial"/>
                <w:sz w:val="20"/>
                <w:szCs w:val="20"/>
                <w:lang w:val="en-GB"/>
              </w:rPr>
              <w:t xml:space="preserve"> 9669/2006 “</w:t>
            </w:r>
            <w:r w:rsidR="008F090B" w:rsidRPr="009B39EC">
              <w:rPr>
                <w:rFonts w:ascii="Arial" w:hAnsi="Arial" w:cs="Arial"/>
                <w:sz w:val="20"/>
                <w:szCs w:val="20"/>
                <w:lang w:val="en-GB"/>
              </w:rPr>
              <w:t>On measures against violence in family relations</w:t>
            </w:r>
            <w:r w:rsidR="00EB27FB" w:rsidRPr="009B39EC">
              <w:rPr>
                <w:rFonts w:ascii="Arial" w:hAnsi="Arial" w:cs="Arial"/>
                <w:sz w:val="20"/>
                <w:szCs w:val="20"/>
                <w:lang w:val="en-GB"/>
              </w:rPr>
              <w:t>”</w:t>
            </w:r>
            <w:r w:rsidRPr="009B39EC">
              <w:rPr>
                <w:rFonts w:ascii="Arial" w:hAnsi="Arial" w:cs="Arial"/>
                <w:sz w:val="20"/>
                <w:szCs w:val="20"/>
                <w:lang w:val="en-GB"/>
              </w:rPr>
              <w:t xml:space="preserve">, as amended, provides for the issuance </w:t>
            </w:r>
            <w:r w:rsidR="00445CB5" w:rsidRPr="009B39EC">
              <w:rPr>
                <w:rFonts w:ascii="Arial" w:hAnsi="Arial" w:cs="Arial"/>
                <w:sz w:val="20"/>
                <w:szCs w:val="20"/>
                <w:lang w:val="en-GB"/>
              </w:rPr>
              <w:t>of Orders</w:t>
            </w:r>
            <w:r w:rsidRPr="009B39EC">
              <w:rPr>
                <w:rFonts w:ascii="Arial" w:hAnsi="Arial" w:cs="Arial"/>
                <w:sz w:val="20"/>
                <w:szCs w:val="20"/>
                <w:lang w:val="en-GB"/>
              </w:rPr>
              <w:t xml:space="preserve"> for Preliminary Protection Measures (OPPM),</w:t>
            </w:r>
            <w:r w:rsidR="00823895" w:rsidRPr="009B39EC">
              <w:rPr>
                <w:rFonts w:ascii="Arial" w:hAnsi="Arial" w:cs="Arial"/>
                <w:sz w:val="20"/>
                <w:szCs w:val="20"/>
                <w:lang w:val="en-GB"/>
              </w:rPr>
              <w:t xml:space="preserve"> Emergency Protection Orders </w:t>
            </w:r>
            <w:r w:rsidRPr="009B39EC">
              <w:rPr>
                <w:rFonts w:ascii="Arial" w:hAnsi="Arial" w:cs="Arial"/>
                <w:sz w:val="20"/>
                <w:szCs w:val="20"/>
                <w:lang w:val="en-GB"/>
              </w:rPr>
              <w:t>(</w:t>
            </w:r>
            <w:r w:rsidR="00823895" w:rsidRPr="009B39EC">
              <w:rPr>
                <w:rFonts w:ascii="Arial" w:hAnsi="Arial" w:cs="Arial"/>
                <w:sz w:val="20"/>
                <w:szCs w:val="20"/>
                <w:lang w:val="en-GB"/>
              </w:rPr>
              <w:t>EPO</w:t>
            </w:r>
            <w:r w:rsidRPr="009B39EC">
              <w:rPr>
                <w:rFonts w:ascii="Arial" w:hAnsi="Arial" w:cs="Arial"/>
                <w:sz w:val="20"/>
                <w:szCs w:val="20"/>
                <w:lang w:val="en-GB"/>
              </w:rPr>
              <w:t>), or Protection Orders (PO) against all forms of domestic violence and for the protection of all family members at risk of being abused. In addition, a risk evaluation before issuing a protection order is considered essential and</w:t>
            </w:r>
            <w:r w:rsidR="00EB27FB" w:rsidRPr="009B39EC">
              <w:rPr>
                <w:rFonts w:ascii="Arial" w:hAnsi="Arial" w:cs="Arial"/>
                <w:sz w:val="20"/>
                <w:szCs w:val="20"/>
                <w:lang w:val="en-GB"/>
              </w:rPr>
              <w:t xml:space="preserve"> </w:t>
            </w:r>
            <w:r w:rsidRPr="009B39EC">
              <w:rPr>
                <w:rFonts w:ascii="Arial" w:hAnsi="Arial" w:cs="Arial"/>
                <w:sz w:val="20"/>
                <w:szCs w:val="20"/>
                <w:lang w:val="en-GB"/>
              </w:rPr>
              <w:t xml:space="preserve">has been included in the provisions/updates to the </w:t>
            </w:r>
            <w:r w:rsidR="00D928E6" w:rsidRPr="009B39EC">
              <w:rPr>
                <w:rFonts w:ascii="Arial" w:hAnsi="Arial" w:cs="Arial"/>
                <w:sz w:val="20"/>
                <w:szCs w:val="20"/>
                <w:lang w:val="en-GB"/>
              </w:rPr>
              <w:t xml:space="preserve">primary </w:t>
            </w:r>
            <w:r w:rsidRPr="009B39EC">
              <w:rPr>
                <w:rFonts w:ascii="Arial" w:hAnsi="Arial" w:cs="Arial"/>
                <w:sz w:val="20"/>
                <w:szCs w:val="20"/>
                <w:lang w:val="en-GB"/>
              </w:rPr>
              <w:t xml:space="preserve">legal </w:t>
            </w:r>
            <w:r w:rsidR="00D928E6" w:rsidRPr="009B39EC">
              <w:rPr>
                <w:rFonts w:ascii="Arial" w:hAnsi="Arial" w:cs="Arial"/>
                <w:sz w:val="20"/>
                <w:szCs w:val="20"/>
                <w:lang w:val="en-GB"/>
              </w:rPr>
              <w:t>provisions</w:t>
            </w:r>
            <w:r w:rsidRPr="009B39EC">
              <w:rPr>
                <w:rFonts w:ascii="Arial" w:hAnsi="Arial" w:cs="Arial"/>
                <w:sz w:val="20"/>
                <w:szCs w:val="20"/>
                <w:lang w:val="en-GB"/>
              </w:rPr>
              <w:t xml:space="preserve"> and </w:t>
            </w:r>
            <w:r w:rsidR="00994C3D" w:rsidRPr="009B39EC">
              <w:rPr>
                <w:rFonts w:ascii="Arial" w:hAnsi="Arial" w:cs="Arial"/>
                <w:sz w:val="20"/>
                <w:szCs w:val="20"/>
                <w:lang w:val="en-GB"/>
              </w:rPr>
              <w:t>secondary legislation (orders, instructions, etc.</w:t>
            </w:r>
            <w:r w:rsidR="00EB27FB" w:rsidRPr="009B39EC">
              <w:rPr>
                <w:rFonts w:ascii="Arial" w:hAnsi="Arial" w:cs="Arial"/>
                <w:sz w:val="20"/>
                <w:szCs w:val="20"/>
                <w:lang w:val="en-GB"/>
              </w:rPr>
              <w:t xml:space="preserve">). </w:t>
            </w:r>
            <w:r w:rsidR="00942F1C" w:rsidRPr="009B39EC">
              <w:rPr>
                <w:rFonts w:ascii="Arial" w:hAnsi="Arial" w:cs="Arial"/>
                <w:sz w:val="20"/>
                <w:szCs w:val="20"/>
                <w:lang w:val="en-GB"/>
              </w:rPr>
              <w:t>In addition to the above, one of the positive developments of the 2018 amendments to this law is the inclusion of intimate partners violence, despite cohabitation in a residence, and the issuance of protection orders in these cases.</w:t>
            </w:r>
          </w:p>
          <w:p w14:paraId="30B32B89" w14:textId="77777777" w:rsidR="00EB27FB" w:rsidRPr="009B39EC" w:rsidRDefault="00EB27FB" w:rsidP="00EB27FB">
            <w:pPr>
              <w:jc w:val="both"/>
              <w:rPr>
                <w:rFonts w:ascii="Arial" w:hAnsi="Arial" w:cs="Arial"/>
                <w:sz w:val="20"/>
                <w:szCs w:val="20"/>
                <w:lang w:val="en-GB"/>
              </w:rPr>
            </w:pPr>
          </w:p>
          <w:p w14:paraId="56FEA4D5" w14:textId="61481D3A" w:rsidR="00EB27FB" w:rsidRPr="009B39EC" w:rsidRDefault="00994C3D" w:rsidP="002A1F2F">
            <w:pPr>
              <w:jc w:val="both"/>
              <w:rPr>
                <w:rFonts w:ascii="Arial" w:hAnsi="Arial" w:cs="Arial"/>
                <w:sz w:val="20"/>
                <w:szCs w:val="20"/>
                <w:lang w:val="en-GB"/>
              </w:rPr>
            </w:pPr>
            <w:r w:rsidRPr="009B39EC">
              <w:rPr>
                <w:rFonts w:ascii="Arial" w:hAnsi="Arial" w:cs="Arial"/>
                <w:sz w:val="20"/>
                <w:szCs w:val="20"/>
                <w:lang w:val="en-GB"/>
              </w:rPr>
              <w:t>Domestic violence and forms of domestic violence are also defined as criminal offences in the Criminal Code of the Republic of Albania. In 2020, the Criminal Code was amended with Law 35/2020, namely by amending Article 130/a which now states as follows</w:t>
            </w:r>
            <w:r w:rsidR="00861D71" w:rsidRPr="009B39EC">
              <w:rPr>
                <w:rFonts w:ascii="Arial" w:hAnsi="Arial" w:cs="Arial"/>
                <w:sz w:val="20"/>
                <w:szCs w:val="20"/>
                <w:lang w:val="en-GB"/>
              </w:rPr>
              <w:t>: “</w:t>
            </w:r>
            <w:r w:rsidRPr="009B39EC">
              <w:rPr>
                <w:rFonts w:ascii="Arial" w:hAnsi="Arial" w:cs="Arial"/>
                <w:b/>
                <w:bCs/>
                <w:sz w:val="20"/>
                <w:szCs w:val="20"/>
                <w:lang w:val="en-GB"/>
              </w:rPr>
              <w:t xml:space="preserve">Beating as well as any other act of </w:t>
            </w:r>
            <w:r w:rsidR="002A1F2F" w:rsidRPr="009B39EC">
              <w:rPr>
                <w:rFonts w:ascii="Arial" w:hAnsi="Arial" w:cs="Arial"/>
                <w:b/>
                <w:bCs/>
                <w:sz w:val="20"/>
                <w:szCs w:val="20"/>
                <w:lang w:val="en-GB"/>
              </w:rPr>
              <w:t xml:space="preserve">physical or </w:t>
            </w:r>
            <w:r w:rsidR="00445CB5" w:rsidRPr="009B39EC">
              <w:rPr>
                <w:rFonts w:ascii="Arial" w:hAnsi="Arial" w:cs="Arial"/>
                <w:b/>
                <w:bCs/>
                <w:sz w:val="20"/>
                <w:szCs w:val="20"/>
                <w:lang w:val="en-GB"/>
              </w:rPr>
              <w:t>psychological</w:t>
            </w:r>
            <w:r w:rsidR="002A1F2F" w:rsidRPr="009B39EC">
              <w:rPr>
                <w:rFonts w:ascii="Arial" w:hAnsi="Arial" w:cs="Arial"/>
                <w:b/>
                <w:bCs/>
                <w:sz w:val="20"/>
                <w:szCs w:val="20"/>
                <w:lang w:val="en-GB"/>
              </w:rPr>
              <w:t xml:space="preserve"> violence </w:t>
            </w:r>
            <w:r w:rsidR="00823895" w:rsidRPr="009B39EC">
              <w:rPr>
                <w:rFonts w:ascii="Arial" w:hAnsi="Arial" w:cs="Arial"/>
                <w:sz w:val="20"/>
                <w:szCs w:val="20"/>
                <w:lang w:val="en-GB"/>
              </w:rPr>
              <w:t>exercised against</w:t>
            </w:r>
            <w:r w:rsidR="002A1F2F" w:rsidRPr="009B39EC">
              <w:rPr>
                <w:rFonts w:ascii="Arial" w:hAnsi="Arial" w:cs="Arial"/>
                <w:sz w:val="20"/>
                <w:szCs w:val="20"/>
                <w:lang w:val="en-GB"/>
              </w:rPr>
              <w:t xml:space="preserve"> a person who is a spouse, former spouse, cohabitant, former cohabitant, close relative</w:t>
            </w:r>
            <w:r w:rsidR="00861D71" w:rsidRPr="009B39EC">
              <w:rPr>
                <w:rFonts w:ascii="Arial" w:hAnsi="Arial" w:cs="Arial"/>
                <w:sz w:val="20"/>
                <w:szCs w:val="20"/>
                <w:lang w:val="en-GB"/>
              </w:rPr>
              <w:t xml:space="preserve"> (</w:t>
            </w:r>
            <w:r w:rsidR="002A1F2F" w:rsidRPr="009B39EC">
              <w:rPr>
                <w:rFonts w:ascii="Arial" w:hAnsi="Arial" w:cs="Arial"/>
                <w:sz w:val="20"/>
                <w:szCs w:val="20"/>
                <w:lang w:val="en-GB"/>
              </w:rPr>
              <w:t>progenitor, descendant, brothers, sisters, uncles, aunts, grandsons, granddaughters, nephews, nieces</w:t>
            </w:r>
            <w:r w:rsidR="00861D71" w:rsidRPr="009B39EC">
              <w:rPr>
                <w:rFonts w:ascii="Arial" w:hAnsi="Arial" w:cs="Arial"/>
                <w:sz w:val="20"/>
                <w:szCs w:val="20"/>
                <w:lang w:val="en-GB"/>
              </w:rPr>
              <w:t>), o</w:t>
            </w:r>
            <w:r w:rsidR="002A1F2F" w:rsidRPr="009B39EC">
              <w:rPr>
                <w:rFonts w:ascii="Arial" w:hAnsi="Arial" w:cs="Arial"/>
                <w:sz w:val="20"/>
                <w:szCs w:val="20"/>
                <w:lang w:val="en-GB"/>
              </w:rPr>
              <w:t xml:space="preserve">r close </w:t>
            </w:r>
            <w:r w:rsidR="00445CB5" w:rsidRPr="009B39EC">
              <w:rPr>
                <w:rFonts w:ascii="Arial" w:hAnsi="Arial" w:cs="Arial"/>
                <w:sz w:val="20"/>
                <w:szCs w:val="20"/>
                <w:lang w:val="en-GB"/>
              </w:rPr>
              <w:t>in-laws</w:t>
            </w:r>
            <w:r w:rsidR="00861D71" w:rsidRPr="009B39EC">
              <w:rPr>
                <w:rFonts w:ascii="Arial" w:hAnsi="Arial" w:cs="Arial"/>
                <w:sz w:val="20"/>
                <w:szCs w:val="20"/>
                <w:lang w:val="en-GB"/>
              </w:rPr>
              <w:t xml:space="preserve"> (</w:t>
            </w:r>
            <w:r w:rsidR="002A1F2F" w:rsidRPr="009B39EC">
              <w:rPr>
                <w:rFonts w:ascii="Arial" w:hAnsi="Arial" w:cs="Arial"/>
                <w:sz w:val="20"/>
                <w:szCs w:val="20"/>
                <w:lang w:val="en-GB"/>
              </w:rPr>
              <w:t>father-in-law, mother in law, son-in-law, daughter-in-law, sister-in-law, brother-in-law</w:t>
            </w:r>
            <w:r w:rsidR="00861D71" w:rsidRPr="009B39EC">
              <w:rPr>
                <w:rFonts w:ascii="Arial" w:hAnsi="Arial" w:cs="Arial"/>
                <w:sz w:val="20"/>
                <w:szCs w:val="20"/>
                <w:lang w:val="en-GB"/>
              </w:rPr>
              <w:t xml:space="preserve">, </w:t>
            </w:r>
            <w:r w:rsidR="002A1F2F" w:rsidRPr="009B39EC">
              <w:rPr>
                <w:rFonts w:ascii="Arial" w:hAnsi="Arial" w:cs="Arial"/>
                <w:sz w:val="20"/>
                <w:szCs w:val="20"/>
                <w:lang w:val="en-GB"/>
              </w:rPr>
              <w:t>stepson, stepdaughter, stepmother, stepfather</w:t>
            </w:r>
            <w:r w:rsidR="00861D71" w:rsidRPr="009B39EC">
              <w:rPr>
                <w:rFonts w:ascii="Arial" w:hAnsi="Arial" w:cs="Arial"/>
                <w:sz w:val="20"/>
                <w:szCs w:val="20"/>
                <w:lang w:val="en-GB"/>
              </w:rPr>
              <w:t>), o</w:t>
            </w:r>
            <w:r w:rsidR="002A1F2F" w:rsidRPr="009B39EC">
              <w:rPr>
                <w:rFonts w:ascii="Arial" w:hAnsi="Arial" w:cs="Arial"/>
                <w:sz w:val="20"/>
                <w:szCs w:val="20"/>
                <w:lang w:val="en-GB"/>
              </w:rPr>
              <w:t>r who is or has previously been in an intimate relationship with the perpetrator of the criminal offence, resulting in the violation of their physical, psycho-social, and economic integrity</w:t>
            </w:r>
            <w:r w:rsidR="00861D71" w:rsidRPr="009B39EC">
              <w:rPr>
                <w:rFonts w:ascii="Arial" w:hAnsi="Arial" w:cs="Arial"/>
                <w:sz w:val="20"/>
                <w:szCs w:val="20"/>
                <w:lang w:val="en-GB"/>
              </w:rPr>
              <w:t xml:space="preserve">, </w:t>
            </w:r>
            <w:r w:rsidR="002A1F2F" w:rsidRPr="009B39EC">
              <w:rPr>
                <w:rFonts w:ascii="Arial" w:hAnsi="Arial" w:cs="Arial"/>
                <w:sz w:val="20"/>
                <w:szCs w:val="20"/>
                <w:lang w:val="en-GB"/>
              </w:rPr>
              <w:t>shall be punished with imprisonment of up to four years</w:t>
            </w:r>
            <w:r w:rsidR="00861D71" w:rsidRPr="009B39EC">
              <w:rPr>
                <w:rFonts w:ascii="Arial" w:hAnsi="Arial" w:cs="Arial"/>
                <w:sz w:val="20"/>
                <w:szCs w:val="20"/>
                <w:lang w:val="en-GB"/>
              </w:rPr>
              <w:t xml:space="preserve">. </w:t>
            </w:r>
            <w:r w:rsidR="002A1F2F" w:rsidRPr="009B39EC">
              <w:rPr>
                <w:rFonts w:ascii="Arial" w:hAnsi="Arial" w:cs="Arial"/>
                <w:sz w:val="20"/>
                <w:szCs w:val="20"/>
                <w:lang w:val="en-GB"/>
              </w:rPr>
              <w:t xml:space="preserve">Intentional injury committed against a person who is a spouse, former spouse, cohabitant, former cohabitant, close relative (progenitor, descendant, brothers, sisters, uncles, aunts, grandsons, granddaughters, nephews, nieces), or close </w:t>
            </w:r>
            <w:r w:rsidR="00445CB5" w:rsidRPr="009B39EC">
              <w:rPr>
                <w:rFonts w:ascii="Arial" w:hAnsi="Arial" w:cs="Arial"/>
                <w:sz w:val="20"/>
                <w:szCs w:val="20"/>
                <w:lang w:val="en-GB"/>
              </w:rPr>
              <w:t>in-laws</w:t>
            </w:r>
            <w:r w:rsidR="002A1F2F" w:rsidRPr="009B39EC">
              <w:rPr>
                <w:rFonts w:ascii="Arial" w:hAnsi="Arial" w:cs="Arial"/>
                <w:sz w:val="20"/>
                <w:szCs w:val="20"/>
                <w:lang w:val="en-GB"/>
              </w:rPr>
              <w:t xml:space="preserve"> (father-in-law, mother in law, son-in-law, daughter-in-law, sister-in-law, brother-in-law, stepson, stepdaughter, stepmother, stepfather), or who is or has previously been in an intimate relationship with the perpetrator of the criminal offence</w:t>
            </w:r>
            <w:r w:rsidR="00861D71" w:rsidRPr="009B39EC">
              <w:rPr>
                <w:rFonts w:ascii="Arial" w:hAnsi="Arial" w:cs="Arial"/>
                <w:sz w:val="20"/>
                <w:szCs w:val="20"/>
                <w:lang w:val="en-GB"/>
              </w:rPr>
              <w:t>,</w:t>
            </w:r>
            <w:r w:rsidR="002A1F2F" w:rsidRPr="009B39EC">
              <w:rPr>
                <w:rFonts w:ascii="Arial" w:hAnsi="Arial" w:cs="Arial"/>
                <w:sz w:val="20"/>
                <w:szCs w:val="20"/>
                <w:lang w:val="en-GB"/>
              </w:rPr>
              <w:t xml:space="preserve"> resulting in </w:t>
            </w:r>
            <w:r w:rsidR="001C3F37" w:rsidRPr="009B39EC">
              <w:rPr>
                <w:rFonts w:ascii="Arial" w:hAnsi="Arial" w:cs="Arial"/>
                <w:sz w:val="20"/>
                <w:szCs w:val="20"/>
                <w:lang w:val="en-GB"/>
              </w:rPr>
              <w:t xml:space="preserve">their </w:t>
            </w:r>
            <w:r w:rsidR="002A1F2F" w:rsidRPr="009B39EC">
              <w:rPr>
                <w:rFonts w:ascii="Arial" w:hAnsi="Arial" w:cs="Arial"/>
                <w:sz w:val="20"/>
                <w:szCs w:val="20"/>
                <w:lang w:val="en-GB"/>
              </w:rPr>
              <w:t>temporar</w:t>
            </w:r>
            <w:r w:rsidR="001C3F37" w:rsidRPr="009B39EC">
              <w:rPr>
                <w:rFonts w:ascii="Arial" w:hAnsi="Arial" w:cs="Arial"/>
                <w:sz w:val="20"/>
                <w:szCs w:val="20"/>
                <w:lang w:val="en-GB"/>
              </w:rPr>
              <w:t xml:space="preserve">ily being unable to work for a period </w:t>
            </w:r>
            <w:r w:rsidR="001C3F37" w:rsidRPr="009B39EC">
              <w:rPr>
                <w:rFonts w:ascii="Arial" w:hAnsi="Arial" w:cs="Arial"/>
                <w:sz w:val="20"/>
                <w:szCs w:val="20"/>
                <w:lang w:val="en-GB"/>
              </w:rPr>
              <w:lastRenderedPageBreak/>
              <w:t xml:space="preserve">of over nine days, shall be punished with a custodial sentence of up to five </w:t>
            </w:r>
            <w:r w:rsidR="00264A56" w:rsidRPr="009B39EC">
              <w:rPr>
                <w:rFonts w:ascii="Arial" w:hAnsi="Arial" w:cs="Arial"/>
                <w:sz w:val="20"/>
                <w:szCs w:val="20"/>
                <w:lang w:val="en-GB"/>
              </w:rPr>
              <w:t>years. The</w:t>
            </w:r>
            <w:r w:rsidR="001C3F37" w:rsidRPr="009B39EC">
              <w:rPr>
                <w:rFonts w:ascii="Arial" w:hAnsi="Arial" w:cs="Arial"/>
                <w:sz w:val="20"/>
                <w:szCs w:val="20"/>
                <w:lang w:val="en-GB"/>
              </w:rPr>
              <w:t xml:space="preserve"> same offences, committed repeatedly or in the presence of children, shall be punishable with one to five years imprisonment</w:t>
            </w:r>
            <w:r w:rsidR="00861D71" w:rsidRPr="009B39EC">
              <w:rPr>
                <w:rFonts w:ascii="Arial" w:hAnsi="Arial" w:cs="Arial"/>
                <w:sz w:val="20"/>
                <w:szCs w:val="20"/>
                <w:lang w:val="en-GB"/>
              </w:rPr>
              <w:t>.”</w:t>
            </w:r>
            <w:r w:rsidR="00EB27FB" w:rsidRPr="009B39EC">
              <w:rPr>
                <w:rFonts w:ascii="Arial" w:hAnsi="Arial" w:cs="Arial"/>
                <w:sz w:val="20"/>
                <w:szCs w:val="20"/>
                <w:lang w:val="en-GB"/>
              </w:rPr>
              <w:t xml:space="preserve">  </w:t>
            </w:r>
            <w:r w:rsidR="001C3F37" w:rsidRPr="009B39EC">
              <w:rPr>
                <w:rFonts w:ascii="Arial" w:hAnsi="Arial" w:cs="Arial"/>
                <w:sz w:val="20"/>
                <w:szCs w:val="20"/>
                <w:lang w:val="en-GB"/>
              </w:rPr>
              <w:t xml:space="preserve">The </w:t>
            </w:r>
            <w:r w:rsidR="00264A56" w:rsidRPr="009B39EC">
              <w:rPr>
                <w:rFonts w:ascii="Arial" w:hAnsi="Arial" w:cs="Arial"/>
                <w:sz w:val="20"/>
                <w:szCs w:val="20"/>
                <w:lang w:val="en-GB"/>
              </w:rPr>
              <w:t>above-mentioned</w:t>
            </w:r>
            <w:r w:rsidR="001C3F37" w:rsidRPr="009B39EC">
              <w:rPr>
                <w:rFonts w:ascii="Arial" w:hAnsi="Arial" w:cs="Arial"/>
                <w:sz w:val="20"/>
                <w:szCs w:val="20"/>
                <w:lang w:val="en-GB"/>
              </w:rPr>
              <w:t xml:space="preserve"> forms of violence, namely domestic violence, stalking, sexual harassment, sexual abuse, forced marriage, forced </w:t>
            </w:r>
            <w:proofErr w:type="gramStart"/>
            <w:r w:rsidR="001C3F37" w:rsidRPr="009B39EC">
              <w:rPr>
                <w:rFonts w:ascii="Arial" w:hAnsi="Arial" w:cs="Arial"/>
                <w:sz w:val="20"/>
                <w:szCs w:val="20"/>
                <w:lang w:val="en-GB"/>
              </w:rPr>
              <w:t>abortion</w:t>
            </w:r>
            <w:proofErr w:type="gramEnd"/>
            <w:r w:rsidR="001C3F37" w:rsidRPr="009B39EC">
              <w:rPr>
                <w:rFonts w:ascii="Arial" w:hAnsi="Arial" w:cs="Arial"/>
                <w:sz w:val="20"/>
                <w:szCs w:val="20"/>
                <w:lang w:val="en-GB"/>
              </w:rPr>
              <w:t xml:space="preserve"> and forced sterilisation, are crimes under the Criminal Code and are prosecuted</w:t>
            </w:r>
            <w:r w:rsidR="00861D71" w:rsidRPr="009B39EC">
              <w:rPr>
                <w:rFonts w:ascii="Arial" w:hAnsi="Arial" w:cs="Arial"/>
                <w:sz w:val="20"/>
                <w:szCs w:val="20"/>
                <w:lang w:val="en-GB"/>
              </w:rPr>
              <w:t xml:space="preserve">. </w:t>
            </w:r>
            <w:r w:rsidR="001C3F37" w:rsidRPr="009B39EC">
              <w:rPr>
                <w:rFonts w:ascii="Arial" w:hAnsi="Arial" w:cs="Arial"/>
                <w:sz w:val="20"/>
                <w:szCs w:val="20"/>
                <w:lang w:val="en-GB"/>
              </w:rPr>
              <w:t xml:space="preserve">The prosecution does not prevent the issuance of an </w:t>
            </w:r>
            <w:r w:rsidR="00823895" w:rsidRPr="009B39EC">
              <w:rPr>
                <w:rFonts w:ascii="Arial" w:hAnsi="Arial" w:cs="Arial"/>
                <w:sz w:val="20"/>
                <w:szCs w:val="20"/>
                <w:lang w:val="en-GB"/>
              </w:rPr>
              <w:t>EPO</w:t>
            </w:r>
            <w:r w:rsidR="001C3F37" w:rsidRPr="009B39EC">
              <w:rPr>
                <w:rFonts w:ascii="Arial" w:hAnsi="Arial" w:cs="Arial"/>
                <w:sz w:val="20"/>
                <w:szCs w:val="20"/>
                <w:lang w:val="en-GB"/>
              </w:rPr>
              <w:t xml:space="preserve">/PO, </w:t>
            </w:r>
            <w:r w:rsidR="0012493B" w:rsidRPr="009B39EC">
              <w:rPr>
                <w:rFonts w:ascii="Arial" w:hAnsi="Arial" w:cs="Arial"/>
                <w:sz w:val="20"/>
                <w:szCs w:val="20"/>
                <w:lang w:val="en-GB"/>
              </w:rPr>
              <w:t>particularly</w:t>
            </w:r>
            <w:r w:rsidR="001C3F37" w:rsidRPr="009B39EC">
              <w:rPr>
                <w:rFonts w:ascii="Arial" w:hAnsi="Arial" w:cs="Arial"/>
                <w:sz w:val="20"/>
                <w:szCs w:val="20"/>
                <w:lang w:val="en-GB"/>
              </w:rPr>
              <w:t xml:space="preserve"> whe</w:t>
            </w:r>
            <w:r w:rsidR="00D928E6" w:rsidRPr="009B39EC">
              <w:rPr>
                <w:rFonts w:ascii="Arial" w:hAnsi="Arial" w:cs="Arial"/>
                <w:sz w:val="20"/>
                <w:szCs w:val="20"/>
                <w:lang w:val="en-GB"/>
              </w:rPr>
              <w:t>re</w:t>
            </w:r>
            <w:r w:rsidR="001C3F37" w:rsidRPr="009B39EC">
              <w:rPr>
                <w:rFonts w:ascii="Arial" w:hAnsi="Arial" w:cs="Arial"/>
                <w:sz w:val="20"/>
                <w:szCs w:val="20"/>
                <w:lang w:val="en-GB"/>
              </w:rPr>
              <w:t xml:space="preserve"> these criminal offences occur in the family environment. Other forms of violence against women are also prosecuted </w:t>
            </w:r>
            <w:r w:rsidR="00D928E6" w:rsidRPr="009B39EC">
              <w:rPr>
                <w:rFonts w:ascii="Arial" w:hAnsi="Arial" w:cs="Arial"/>
                <w:sz w:val="20"/>
                <w:szCs w:val="20"/>
                <w:lang w:val="en-GB"/>
              </w:rPr>
              <w:t>under</w:t>
            </w:r>
            <w:r w:rsidR="001C3F37" w:rsidRPr="009B39EC">
              <w:rPr>
                <w:rFonts w:ascii="Arial" w:hAnsi="Arial" w:cs="Arial"/>
                <w:sz w:val="20"/>
                <w:szCs w:val="20"/>
                <w:lang w:val="en-GB"/>
              </w:rPr>
              <w:t xml:space="preserve"> the relevant articles of the Criminal Code. Female Genital Mutilation is not an</w:t>
            </w:r>
            <w:r w:rsidR="0012493B" w:rsidRPr="009B39EC">
              <w:rPr>
                <w:rFonts w:ascii="Arial" w:hAnsi="Arial" w:cs="Arial"/>
                <w:sz w:val="20"/>
                <w:szCs w:val="20"/>
                <w:lang w:val="en-GB"/>
              </w:rPr>
              <w:t xml:space="preserve"> issue in Albania and until now no steps have been taken to address this form of abuse in the legislation and the relevant protection measures needed</w:t>
            </w:r>
            <w:r w:rsidR="00861D71" w:rsidRPr="009B39EC">
              <w:rPr>
                <w:rFonts w:ascii="Arial" w:hAnsi="Arial" w:cs="Arial"/>
                <w:sz w:val="20"/>
                <w:szCs w:val="20"/>
                <w:lang w:val="en-GB"/>
              </w:rPr>
              <w:t xml:space="preserve">. </w:t>
            </w:r>
            <w:r w:rsidR="0012493B" w:rsidRPr="009B39EC">
              <w:rPr>
                <w:rFonts w:ascii="Arial" w:hAnsi="Arial" w:cs="Arial"/>
                <w:sz w:val="20"/>
                <w:szCs w:val="20"/>
                <w:lang w:val="en-GB"/>
              </w:rPr>
              <w:t xml:space="preserve">Nevertheless, </w:t>
            </w:r>
            <w:r w:rsidR="00D928E6" w:rsidRPr="009B39EC">
              <w:rPr>
                <w:rFonts w:ascii="Arial" w:hAnsi="Arial" w:cs="Arial"/>
                <w:sz w:val="20"/>
                <w:szCs w:val="20"/>
                <w:lang w:val="en-GB"/>
              </w:rPr>
              <w:t xml:space="preserve">FGM </w:t>
            </w:r>
            <w:r w:rsidR="0012493B" w:rsidRPr="009B39EC">
              <w:rPr>
                <w:rFonts w:ascii="Arial" w:hAnsi="Arial" w:cs="Arial"/>
                <w:sz w:val="20"/>
                <w:szCs w:val="20"/>
                <w:lang w:val="en-GB"/>
              </w:rPr>
              <w:t xml:space="preserve">is </w:t>
            </w:r>
            <w:r w:rsidR="00D928E6" w:rsidRPr="009B39EC">
              <w:rPr>
                <w:rFonts w:ascii="Arial" w:hAnsi="Arial" w:cs="Arial"/>
                <w:sz w:val="20"/>
                <w:szCs w:val="20"/>
                <w:lang w:val="en-GB"/>
              </w:rPr>
              <w:t xml:space="preserve">regularly </w:t>
            </w:r>
            <w:r w:rsidR="0012493B" w:rsidRPr="009B39EC">
              <w:rPr>
                <w:rFonts w:ascii="Arial" w:hAnsi="Arial" w:cs="Arial"/>
                <w:sz w:val="20"/>
                <w:szCs w:val="20"/>
                <w:lang w:val="en-GB"/>
              </w:rPr>
              <w:t>d</w:t>
            </w:r>
            <w:r w:rsidR="00D928E6" w:rsidRPr="009B39EC">
              <w:rPr>
                <w:rFonts w:ascii="Arial" w:hAnsi="Arial" w:cs="Arial"/>
                <w:sz w:val="20"/>
                <w:szCs w:val="20"/>
                <w:lang w:val="en-GB"/>
              </w:rPr>
              <w:t>iscussed</w:t>
            </w:r>
            <w:r w:rsidR="0012493B" w:rsidRPr="009B39EC">
              <w:rPr>
                <w:rFonts w:ascii="Arial" w:hAnsi="Arial" w:cs="Arial"/>
                <w:sz w:val="20"/>
                <w:szCs w:val="20"/>
                <w:lang w:val="en-GB"/>
              </w:rPr>
              <w:t xml:space="preserve"> in the meetings and information and training sessions, where the causes and consequences of such practices are explained,</w:t>
            </w:r>
            <w:r w:rsidR="00D928E6" w:rsidRPr="009B39EC">
              <w:rPr>
                <w:rFonts w:ascii="Arial" w:hAnsi="Arial" w:cs="Arial"/>
                <w:sz w:val="20"/>
                <w:szCs w:val="20"/>
                <w:lang w:val="en-GB"/>
              </w:rPr>
              <w:t xml:space="preserve"> including the </w:t>
            </w:r>
            <w:r w:rsidR="0012493B" w:rsidRPr="009B39EC">
              <w:rPr>
                <w:rFonts w:ascii="Arial" w:hAnsi="Arial" w:cs="Arial"/>
                <w:sz w:val="20"/>
                <w:szCs w:val="20"/>
                <w:lang w:val="en-GB"/>
              </w:rPr>
              <w:t>consequences that the absence of legal provisions addressing this form of abuse in the legislation may have</w:t>
            </w:r>
            <w:r w:rsidR="00861D71" w:rsidRPr="009B39EC">
              <w:rPr>
                <w:rFonts w:ascii="Arial" w:hAnsi="Arial" w:cs="Arial"/>
                <w:sz w:val="20"/>
                <w:szCs w:val="20"/>
                <w:lang w:val="en-GB"/>
              </w:rPr>
              <w:t xml:space="preserve">. </w:t>
            </w:r>
          </w:p>
          <w:p w14:paraId="4FE114B6" w14:textId="77777777" w:rsidR="0012493B" w:rsidRPr="009B39EC" w:rsidRDefault="0012493B" w:rsidP="00FF5CBB">
            <w:pPr>
              <w:jc w:val="both"/>
              <w:rPr>
                <w:rFonts w:ascii="Arial" w:hAnsi="Arial" w:cs="Arial"/>
                <w:sz w:val="20"/>
                <w:szCs w:val="20"/>
                <w:lang w:val="en-GB"/>
              </w:rPr>
            </w:pPr>
          </w:p>
          <w:p w14:paraId="02054D34" w14:textId="1E101CE6" w:rsidR="00111FD4" w:rsidRPr="009B39EC" w:rsidRDefault="00D928E6" w:rsidP="00FF5CBB">
            <w:pPr>
              <w:jc w:val="both"/>
              <w:rPr>
                <w:rFonts w:ascii="Arial" w:hAnsi="Arial" w:cs="Arial"/>
                <w:sz w:val="20"/>
                <w:szCs w:val="20"/>
                <w:lang w:val="en-GB"/>
              </w:rPr>
            </w:pPr>
            <w:r w:rsidRPr="009B39EC">
              <w:rPr>
                <w:rFonts w:ascii="Arial" w:hAnsi="Arial" w:cs="Arial"/>
                <w:sz w:val="20"/>
                <w:szCs w:val="20"/>
                <w:lang w:val="en-GB"/>
              </w:rPr>
              <w:t xml:space="preserve">As far as </w:t>
            </w:r>
            <w:r w:rsidR="0012493B" w:rsidRPr="009B39EC">
              <w:rPr>
                <w:rFonts w:ascii="Arial" w:hAnsi="Arial" w:cs="Arial"/>
                <w:sz w:val="20"/>
                <w:szCs w:val="20"/>
                <w:lang w:val="en-GB"/>
              </w:rPr>
              <w:t>harassment and sexual harassment</w:t>
            </w:r>
            <w:r w:rsidRPr="009B39EC">
              <w:rPr>
                <w:rFonts w:ascii="Arial" w:hAnsi="Arial" w:cs="Arial"/>
                <w:sz w:val="20"/>
                <w:szCs w:val="20"/>
                <w:lang w:val="en-GB"/>
              </w:rPr>
              <w:t xml:space="preserve"> are concerned,</w:t>
            </w:r>
            <w:r w:rsidR="0012493B" w:rsidRPr="009B39EC">
              <w:rPr>
                <w:rFonts w:ascii="Arial" w:hAnsi="Arial" w:cs="Arial"/>
                <w:sz w:val="20"/>
                <w:szCs w:val="20"/>
                <w:lang w:val="en-GB"/>
              </w:rPr>
              <w:t xml:space="preserve"> in fulfilment of the GREVIO recommendation on the strengthening of the role of the Ombudsperson and the Commissioner Against Discrimination as defenders of victims of violence against women, </w:t>
            </w:r>
            <w:r w:rsidRPr="009B39EC">
              <w:rPr>
                <w:rFonts w:ascii="Arial" w:hAnsi="Arial" w:cs="Arial"/>
                <w:sz w:val="20"/>
                <w:szCs w:val="20"/>
                <w:lang w:val="en-GB"/>
              </w:rPr>
              <w:t>on 11 July 2019,</w:t>
            </w:r>
            <w:r w:rsidR="00D713E4" w:rsidRPr="009B39EC">
              <w:rPr>
                <w:rFonts w:ascii="Arial" w:hAnsi="Arial" w:cs="Arial"/>
                <w:sz w:val="20"/>
                <w:szCs w:val="20"/>
                <w:lang w:val="en-GB"/>
              </w:rPr>
              <w:t xml:space="preserve"> the Office of the Ombudsperson, with the support of </w:t>
            </w:r>
            <w:r w:rsidR="00111FD4" w:rsidRPr="009B39EC">
              <w:rPr>
                <w:rFonts w:ascii="Arial" w:hAnsi="Arial" w:cs="Arial"/>
                <w:sz w:val="20"/>
                <w:szCs w:val="20"/>
                <w:lang w:val="en-GB"/>
              </w:rPr>
              <w:t>UNDP</w:t>
            </w:r>
            <w:r w:rsidR="00D713E4" w:rsidRPr="009B39EC">
              <w:rPr>
                <w:rFonts w:ascii="Arial" w:hAnsi="Arial" w:cs="Arial"/>
                <w:sz w:val="20"/>
                <w:szCs w:val="20"/>
                <w:lang w:val="en-GB"/>
              </w:rPr>
              <w:t>, organised a consultative roundtable with representatives of the public administration,</w:t>
            </w:r>
            <w:r w:rsidRPr="009B39EC">
              <w:rPr>
                <w:rFonts w:ascii="Arial" w:hAnsi="Arial" w:cs="Arial"/>
                <w:sz w:val="20"/>
                <w:szCs w:val="20"/>
                <w:lang w:val="en-GB"/>
              </w:rPr>
              <w:t xml:space="preserve"> the</w:t>
            </w:r>
            <w:r w:rsidR="00D713E4" w:rsidRPr="009B39EC">
              <w:rPr>
                <w:rFonts w:ascii="Arial" w:hAnsi="Arial" w:cs="Arial"/>
                <w:sz w:val="20"/>
                <w:szCs w:val="20"/>
                <w:lang w:val="en-GB"/>
              </w:rPr>
              <w:t xml:space="preserve"> private sector, civil society and the trade unions</w:t>
            </w:r>
            <w:r w:rsidRPr="009B39EC">
              <w:rPr>
                <w:rFonts w:ascii="Arial" w:hAnsi="Arial" w:cs="Arial"/>
                <w:sz w:val="20"/>
                <w:szCs w:val="20"/>
                <w:lang w:val="en-GB"/>
              </w:rPr>
              <w:t xml:space="preserve">, </w:t>
            </w:r>
            <w:r w:rsidR="00D713E4" w:rsidRPr="009B39EC">
              <w:rPr>
                <w:rFonts w:ascii="Arial" w:hAnsi="Arial" w:cs="Arial"/>
                <w:sz w:val="20"/>
                <w:szCs w:val="20"/>
                <w:lang w:val="en-GB"/>
              </w:rPr>
              <w:t xml:space="preserve"> </w:t>
            </w:r>
            <w:r w:rsidRPr="009B39EC">
              <w:rPr>
                <w:rFonts w:ascii="Arial" w:hAnsi="Arial" w:cs="Arial"/>
                <w:sz w:val="20"/>
                <w:szCs w:val="20"/>
                <w:lang w:val="en-GB"/>
              </w:rPr>
              <w:t>entitled</w:t>
            </w:r>
            <w:r w:rsidR="00D12075" w:rsidRPr="009B39EC">
              <w:rPr>
                <w:rFonts w:ascii="Arial" w:hAnsi="Arial" w:cs="Arial"/>
                <w:sz w:val="20"/>
                <w:szCs w:val="20"/>
                <w:lang w:val="en-GB"/>
              </w:rPr>
              <w:t xml:space="preserve"> </w:t>
            </w:r>
            <w:r w:rsidR="00111FD4" w:rsidRPr="009B39EC">
              <w:rPr>
                <w:rFonts w:ascii="Arial" w:hAnsi="Arial" w:cs="Arial"/>
                <w:sz w:val="20"/>
                <w:szCs w:val="20"/>
                <w:lang w:val="en-GB"/>
              </w:rPr>
              <w:t>“P</w:t>
            </w:r>
            <w:r w:rsidR="00D12075" w:rsidRPr="009B39EC">
              <w:rPr>
                <w:rFonts w:ascii="Arial" w:hAnsi="Arial" w:cs="Arial"/>
                <w:sz w:val="20"/>
                <w:szCs w:val="20"/>
                <w:lang w:val="en-GB"/>
              </w:rPr>
              <w:t>rinciples, policies and standards of a safe working environment</w:t>
            </w:r>
            <w:r w:rsidR="00111FD4" w:rsidRPr="009B39EC">
              <w:rPr>
                <w:rFonts w:ascii="Arial" w:hAnsi="Arial" w:cs="Arial"/>
                <w:sz w:val="20"/>
                <w:szCs w:val="20"/>
                <w:lang w:val="en-GB"/>
              </w:rPr>
              <w:t xml:space="preserve">”. </w:t>
            </w:r>
            <w:r w:rsidR="00D12075" w:rsidRPr="009B39EC">
              <w:rPr>
                <w:rFonts w:ascii="Arial" w:hAnsi="Arial" w:cs="Arial"/>
                <w:sz w:val="20"/>
                <w:szCs w:val="20"/>
                <w:lang w:val="en-GB"/>
              </w:rPr>
              <w:t xml:space="preserve">The discussion </w:t>
            </w:r>
            <w:r w:rsidRPr="009B39EC">
              <w:rPr>
                <w:rFonts w:ascii="Arial" w:hAnsi="Arial" w:cs="Arial"/>
                <w:sz w:val="20"/>
                <w:szCs w:val="20"/>
                <w:lang w:val="en-GB"/>
              </w:rPr>
              <w:t xml:space="preserve">focused </w:t>
            </w:r>
            <w:r w:rsidR="00D12075" w:rsidRPr="009B39EC">
              <w:rPr>
                <w:rFonts w:ascii="Arial" w:hAnsi="Arial" w:cs="Arial"/>
                <w:sz w:val="20"/>
                <w:szCs w:val="20"/>
                <w:lang w:val="en-GB"/>
              </w:rPr>
              <w:t xml:space="preserve">on the development of political and procedural documents against harassment and sexual harassment by various public institutions and private entities, </w:t>
            </w:r>
            <w:r w:rsidR="00F22BF2" w:rsidRPr="009B39EC">
              <w:rPr>
                <w:rFonts w:ascii="Arial" w:hAnsi="Arial" w:cs="Arial"/>
                <w:sz w:val="20"/>
                <w:szCs w:val="20"/>
                <w:lang w:val="en-GB"/>
              </w:rPr>
              <w:t xml:space="preserve">with a view to </w:t>
            </w:r>
            <w:r w:rsidR="00D12075" w:rsidRPr="009B39EC">
              <w:rPr>
                <w:rFonts w:ascii="Arial" w:hAnsi="Arial" w:cs="Arial"/>
                <w:sz w:val="20"/>
                <w:szCs w:val="20"/>
                <w:lang w:val="en-GB"/>
              </w:rPr>
              <w:t>help</w:t>
            </w:r>
            <w:r w:rsidR="00F22BF2" w:rsidRPr="009B39EC">
              <w:rPr>
                <w:rFonts w:ascii="Arial" w:hAnsi="Arial" w:cs="Arial"/>
                <w:sz w:val="20"/>
                <w:szCs w:val="20"/>
                <w:lang w:val="en-GB"/>
              </w:rPr>
              <w:t xml:space="preserve">ing </w:t>
            </w:r>
            <w:r w:rsidR="00D12075" w:rsidRPr="009B39EC">
              <w:rPr>
                <w:rFonts w:ascii="Arial" w:hAnsi="Arial" w:cs="Arial"/>
                <w:sz w:val="20"/>
                <w:szCs w:val="20"/>
                <w:lang w:val="en-GB"/>
              </w:rPr>
              <w:t xml:space="preserve">ensure a safe working environment. </w:t>
            </w:r>
            <w:r w:rsidR="0041062A" w:rsidRPr="009B39EC">
              <w:rPr>
                <w:rFonts w:ascii="Arial" w:hAnsi="Arial" w:cs="Arial"/>
                <w:sz w:val="20"/>
                <w:szCs w:val="20"/>
                <w:lang w:val="en-GB"/>
              </w:rPr>
              <w:t>Based on the recommendations of this meeting, the Office of the Ombudsperson is now collaborating with the Department of Public Administration for drafting a document on</w:t>
            </w:r>
            <w:r w:rsidR="00111FD4" w:rsidRPr="009B39EC">
              <w:rPr>
                <w:rFonts w:ascii="Arial" w:hAnsi="Arial" w:cs="Arial"/>
                <w:sz w:val="20"/>
                <w:szCs w:val="20"/>
                <w:lang w:val="en-GB"/>
              </w:rPr>
              <w:t xml:space="preserve"> “</w:t>
            </w:r>
            <w:r w:rsidR="0041062A" w:rsidRPr="009B39EC">
              <w:rPr>
                <w:rFonts w:ascii="Arial" w:hAnsi="Arial" w:cs="Arial"/>
                <w:sz w:val="20"/>
                <w:szCs w:val="20"/>
                <w:lang w:val="en-GB"/>
              </w:rPr>
              <w:t>Public Administration p</w:t>
            </w:r>
            <w:r w:rsidR="00111FD4" w:rsidRPr="009B39EC">
              <w:rPr>
                <w:rFonts w:ascii="Arial" w:hAnsi="Arial" w:cs="Arial"/>
                <w:sz w:val="20"/>
                <w:szCs w:val="20"/>
                <w:lang w:val="en-GB"/>
              </w:rPr>
              <w:t>oli</w:t>
            </w:r>
            <w:r w:rsidR="0041062A" w:rsidRPr="009B39EC">
              <w:rPr>
                <w:rFonts w:ascii="Arial" w:hAnsi="Arial" w:cs="Arial"/>
                <w:sz w:val="20"/>
                <w:szCs w:val="20"/>
                <w:lang w:val="en-GB"/>
              </w:rPr>
              <w:t>cies and practices for the elimination of abuse, harassment and sexual harassment in the working environment</w:t>
            </w:r>
            <w:r w:rsidR="00111FD4" w:rsidRPr="009B39EC">
              <w:rPr>
                <w:rFonts w:ascii="Arial" w:hAnsi="Arial" w:cs="Arial"/>
                <w:sz w:val="20"/>
                <w:szCs w:val="20"/>
                <w:lang w:val="en-GB"/>
              </w:rPr>
              <w:t>”.</w:t>
            </w:r>
          </w:p>
          <w:p w14:paraId="6B31650A" w14:textId="080B00BC" w:rsidR="00942F1C" w:rsidRPr="009B39EC" w:rsidRDefault="00942F1C" w:rsidP="00FF5CBB">
            <w:pPr>
              <w:jc w:val="both"/>
              <w:rPr>
                <w:rFonts w:ascii="Arial" w:hAnsi="Arial" w:cs="Arial"/>
                <w:sz w:val="20"/>
                <w:szCs w:val="20"/>
                <w:lang w:val="en-GB"/>
              </w:rPr>
            </w:pPr>
          </w:p>
          <w:p w14:paraId="2927E013" w14:textId="35744881" w:rsidR="00942F1C" w:rsidRPr="009B39EC" w:rsidRDefault="00942F1C" w:rsidP="00FF5CBB">
            <w:pPr>
              <w:jc w:val="both"/>
              <w:rPr>
                <w:rFonts w:ascii="Arial" w:hAnsi="Arial" w:cs="Arial"/>
                <w:sz w:val="20"/>
                <w:szCs w:val="20"/>
                <w:lang w:val="en-GB"/>
              </w:rPr>
            </w:pPr>
            <w:r w:rsidRPr="009B39EC">
              <w:rPr>
                <w:rFonts w:ascii="Arial" w:hAnsi="Arial" w:cs="Arial"/>
                <w:sz w:val="20"/>
                <w:szCs w:val="20"/>
                <w:lang w:val="en-GB"/>
              </w:rPr>
              <w:t xml:space="preserve">Regarding "Sexual Harassment", it is added to Law no. 10 221 dated 04.02.2010 "On protection from discrimination" the concept of "Sexual harassment", as a form of discrimination that occurs in the case of unwanted </w:t>
            </w:r>
            <w:proofErr w:type="spellStart"/>
            <w:r w:rsidRPr="009B39EC">
              <w:rPr>
                <w:rFonts w:ascii="Arial" w:hAnsi="Arial" w:cs="Arial"/>
                <w:sz w:val="20"/>
                <w:szCs w:val="20"/>
                <w:lang w:val="en-GB"/>
              </w:rPr>
              <w:t>behavior</w:t>
            </w:r>
            <w:proofErr w:type="spellEnd"/>
            <w:r w:rsidRPr="009B39EC">
              <w:rPr>
                <w:rFonts w:ascii="Arial" w:hAnsi="Arial" w:cs="Arial"/>
                <w:sz w:val="20"/>
                <w:szCs w:val="20"/>
                <w:lang w:val="en-GB"/>
              </w:rPr>
              <w:t>, verbal or non-verbal, of a sexual nature, which has the purpose or effect of violating the dignity of the person and the creation of an intimidating, hostile, contemptuous, humiliating or offensive environment for her/him, in line with the provisions of the Council of Europe Convention on Preventing and Combating Violence against Women and Domestic Violence (Istanbul Convention).</w:t>
            </w:r>
            <w:r w:rsidR="004D1C17" w:rsidRPr="009B39EC">
              <w:rPr>
                <w:rFonts w:ascii="Arial" w:hAnsi="Arial" w:cs="Arial"/>
                <w:sz w:val="20"/>
                <w:szCs w:val="20"/>
              </w:rPr>
              <w:t xml:space="preserve"> </w:t>
            </w:r>
            <w:r w:rsidR="004D1C17" w:rsidRPr="009B39EC">
              <w:rPr>
                <w:rFonts w:ascii="Arial" w:hAnsi="Arial" w:cs="Arial"/>
                <w:sz w:val="20"/>
                <w:szCs w:val="20"/>
                <w:lang w:val="en-GB"/>
              </w:rPr>
              <w:t>Recent changes have also added new forms of discrimination, such as: cross-sectoral discrimination, multiple discrimination, structural discrimination, hate speech, incitement or aid to discrimination, the declared purpose of discrimination, etc.</w:t>
            </w:r>
            <w:r w:rsidR="004D1C17" w:rsidRPr="009B39EC">
              <w:rPr>
                <w:rFonts w:ascii="Arial" w:hAnsi="Arial" w:cs="Arial"/>
                <w:sz w:val="20"/>
                <w:szCs w:val="20"/>
              </w:rPr>
              <w:t xml:space="preserve"> </w:t>
            </w:r>
            <w:r w:rsidR="004D1C17" w:rsidRPr="009B39EC">
              <w:rPr>
                <w:rFonts w:ascii="Arial" w:hAnsi="Arial" w:cs="Arial"/>
                <w:sz w:val="20"/>
                <w:szCs w:val="20"/>
                <w:lang w:val="en-GB"/>
              </w:rPr>
              <w:t xml:space="preserve">It should be noted that already, any discriminatory </w:t>
            </w:r>
            <w:proofErr w:type="spellStart"/>
            <w:r w:rsidR="004D1C17" w:rsidRPr="009B39EC">
              <w:rPr>
                <w:rFonts w:ascii="Arial" w:hAnsi="Arial" w:cs="Arial"/>
                <w:sz w:val="20"/>
                <w:szCs w:val="20"/>
                <w:lang w:val="en-GB"/>
              </w:rPr>
              <w:t>behavior</w:t>
            </w:r>
            <w:proofErr w:type="spellEnd"/>
            <w:r w:rsidR="004D1C17" w:rsidRPr="009B39EC">
              <w:rPr>
                <w:rFonts w:ascii="Arial" w:hAnsi="Arial" w:cs="Arial"/>
                <w:sz w:val="20"/>
                <w:szCs w:val="20"/>
                <w:lang w:val="en-GB"/>
              </w:rPr>
              <w:t xml:space="preserve"> that is motivated by more than one cause, when committed more than once, when it has lasted for a long period of time, or when it has brought particularly harmful consequences for the victim constitutes a form serious discrimination.</w:t>
            </w:r>
            <w:r w:rsidR="004D1C17" w:rsidRPr="009B39EC">
              <w:rPr>
                <w:rFonts w:ascii="Arial" w:hAnsi="Arial" w:cs="Arial"/>
                <w:sz w:val="20"/>
                <w:szCs w:val="20"/>
              </w:rPr>
              <w:t xml:space="preserve"> </w:t>
            </w:r>
            <w:r w:rsidR="004D1C17" w:rsidRPr="009B39EC">
              <w:rPr>
                <w:rFonts w:ascii="Arial" w:hAnsi="Arial" w:cs="Arial"/>
                <w:sz w:val="20"/>
                <w:szCs w:val="20"/>
                <w:lang w:val="en-GB"/>
              </w:rPr>
              <w:t xml:space="preserve">Regarding “Forced Abortion”, in 2018, the Commissioner participated in the hearing held by the Committee on </w:t>
            </w:r>
            <w:proofErr w:type="spellStart"/>
            <w:r w:rsidR="004D1C17" w:rsidRPr="009B39EC">
              <w:rPr>
                <w:rFonts w:ascii="Arial" w:hAnsi="Arial" w:cs="Arial"/>
                <w:sz w:val="20"/>
                <w:szCs w:val="20"/>
                <w:lang w:val="en-GB"/>
              </w:rPr>
              <w:t>Labor</w:t>
            </w:r>
            <w:proofErr w:type="spellEnd"/>
            <w:r w:rsidR="004D1C17" w:rsidRPr="009B39EC">
              <w:rPr>
                <w:rFonts w:ascii="Arial" w:hAnsi="Arial" w:cs="Arial"/>
                <w:sz w:val="20"/>
                <w:szCs w:val="20"/>
                <w:lang w:val="en-GB"/>
              </w:rPr>
              <w:t>, Social Affairs and Health, together with the Subcommittee on Gender Equality and the Prevention of Violence against Women, the Subcommittee on Human Rights and other stakeholders where it was discussed the implementation of legislation regarding sex-selective abortion. The Commissioner for Protection from Discrimination raised the concern of gaps in data and reports from state institutions.</w:t>
            </w:r>
          </w:p>
          <w:p w14:paraId="55F8A034" w14:textId="77777777" w:rsidR="00BF5668" w:rsidRPr="009B39EC" w:rsidRDefault="00BF5668" w:rsidP="00BF5668">
            <w:pPr>
              <w:jc w:val="both"/>
              <w:rPr>
                <w:rFonts w:ascii="Arial" w:hAnsi="Arial" w:cs="Arial"/>
                <w:sz w:val="20"/>
                <w:szCs w:val="20"/>
                <w:lang w:val="en-GB"/>
              </w:rPr>
            </w:pPr>
          </w:p>
        </w:tc>
      </w:tr>
      <w:tr w:rsidR="00BF5668" w:rsidRPr="009B39EC" w14:paraId="07E4AE8D" w14:textId="77777777" w:rsidTr="004860C4">
        <w:tc>
          <w:tcPr>
            <w:tcW w:w="216" w:type="pct"/>
          </w:tcPr>
          <w:p w14:paraId="705EAB37"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lastRenderedPageBreak/>
              <w:t>29.2</w:t>
            </w:r>
          </w:p>
        </w:tc>
        <w:tc>
          <w:tcPr>
            <w:tcW w:w="4784" w:type="pct"/>
            <w:gridSpan w:val="3"/>
          </w:tcPr>
          <w:p w14:paraId="138DF6C9" w14:textId="71F65232" w:rsidR="00BF5668" w:rsidRPr="009B39EC" w:rsidRDefault="00047815" w:rsidP="00BF5668">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BF5668" w:rsidRPr="009B39EC">
              <w:rPr>
                <w:rFonts w:ascii="Arial" w:hAnsi="Arial" w:cs="Arial"/>
                <w:sz w:val="20"/>
                <w:szCs w:val="20"/>
                <w:lang w:val="en-GB"/>
              </w:rPr>
              <w:t>:</w:t>
            </w:r>
          </w:p>
          <w:p w14:paraId="4AA71BDC" w14:textId="77777777" w:rsidR="00BF5668" w:rsidRPr="009B39EC" w:rsidRDefault="00BF5668" w:rsidP="00BF5668">
            <w:pPr>
              <w:jc w:val="both"/>
              <w:rPr>
                <w:rFonts w:ascii="Arial" w:hAnsi="Arial" w:cs="Arial"/>
                <w:sz w:val="20"/>
                <w:szCs w:val="20"/>
                <w:lang w:val="en-GB"/>
              </w:rPr>
            </w:pPr>
          </w:p>
        </w:tc>
      </w:tr>
      <w:tr w:rsidR="00BF5668" w:rsidRPr="009B39EC" w14:paraId="174A97EA" w14:textId="77777777" w:rsidTr="00047815">
        <w:tc>
          <w:tcPr>
            <w:tcW w:w="216" w:type="pct"/>
          </w:tcPr>
          <w:p w14:paraId="6B0912B7"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30</w:t>
            </w:r>
          </w:p>
        </w:tc>
        <w:tc>
          <w:tcPr>
            <w:tcW w:w="3497" w:type="pct"/>
          </w:tcPr>
          <w:p w14:paraId="561FD8DC" w14:textId="3E04CCD1" w:rsidR="00BF5668" w:rsidRPr="009B39EC" w:rsidRDefault="00DC74D7" w:rsidP="00BF5668">
            <w:pPr>
              <w:pStyle w:val="NoSpacing"/>
              <w:jc w:val="both"/>
              <w:rPr>
                <w:rFonts w:ascii="Arial" w:hAnsi="Arial" w:cs="Arial"/>
                <w:sz w:val="20"/>
                <w:szCs w:val="20"/>
                <w:lang w:val="en-GB"/>
              </w:rPr>
            </w:pPr>
            <w:r w:rsidRPr="009B39EC">
              <w:rPr>
                <w:rFonts w:ascii="Arial" w:hAnsi="Arial" w:cs="Arial"/>
                <w:sz w:val="20"/>
                <w:szCs w:val="20"/>
                <w:lang w:val="en-GB"/>
              </w:rPr>
              <w:t>Have your authorities taken measures contributing to ensure the effective enforcement of barring, restraining or protection orders</w:t>
            </w:r>
            <w:r w:rsidR="00F83DBA" w:rsidRPr="009B39EC">
              <w:rPr>
                <w:rFonts w:ascii="Arial" w:hAnsi="Arial" w:cs="Arial"/>
                <w:sz w:val="20"/>
                <w:szCs w:val="20"/>
                <w:lang w:val="en-GB"/>
              </w:rPr>
              <w:t>?</w:t>
            </w:r>
          </w:p>
          <w:p w14:paraId="1ECF5CCC" w14:textId="77777777" w:rsidR="00BF5668" w:rsidRPr="009B39EC" w:rsidRDefault="00BF5668" w:rsidP="00BF5668">
            <w:pPr>
              <w:pStyle w:val="NoSpacing"/>
              <w:jc w:val="both"/>
              <w:rPr>
                <w:rFonts w:ascii="Arial" w:hAnsi="Arial" w:cs="Arial"/>
                <w:sz w:val="20"/>
                <w:szCs w:val="20"/>
                <w:lang w:val="en-GB"/>
              </w:rPr>
            </w:pPr>
          </w:p>
        </w:tc>
        <w:tc>
          <w:tcPr>
            <w:tcW w:w="800" w:type="pct"/>
          </w:tcPr>
          <w:p w14:paraId="1427AEAA" w14:textId="07F33145" w:rsidR="00BF5668" w:rsidRPr="009B39EC" w:rsidRDefault="00A65624" w:rsidP="00BF5668">
            <w:pPr>
              <w:jc w:val="both"/>
              <w:rPr>
                <w:rFonts w:ascii="Arial" w:hAnsi="Arial" w:cs="Arial"/>
                <w:sz w:val="20"/>
                <w:szCs w:val="20"/>
                <w:lang w:val="en-GB"/>
              </w:rPr>
            </w:pPr>
            <w:r w:rsidRPr="009B39EC">
              <w:rPr>
                <w:rFonts w:ascii="Arial" w:hAnsi="Arial" w:cs="Arial"/>
                <w:b/>
                <w:bCs/>
                <w:sz w:val="20"/>
                <w:szCs w:val="20"/>
                <w:lang w:val="en-GB"/>
              </w:rPr>
              <w:t xml:space="preserve">Yes </w:t>
            </w:r>
            <w:sdt>
              <w:sdtPr>
                <w:rPr>
                  <w:rFonts w:ascii="Arial" w:hAnsi="Arial" w:cs="Arial"/>
                  <w:sz w:val="20"/>
                  <w:szCs w:val="20"/>
                  <w:lang w:val="en-GB"/>
                </w:rPr>
                <w:id w:val="-743485483"/>
                <w14:checkbox>
                  <w14:checked w14:val="1"/>
                  <w14:checkedState w14:val="2612" w14:font="MS Gothic"/>
                  <w14:uncheckedState w14:val="2610" w14:font="MS Gothic"/>
                </w14:checkbox>
              </w:sdtPr>
              <w:sdtEndPr/>
              <w:sdtContent>
                <w:r w:rsidR="006D01A8" w:rsidRPr="009B39EC">
                  <w:rPr>
                    <w:rFonts w:ascii="Segoe UI Symbol" w:eastAsia="MS Gothic" w:hAnsi="Segoe UI Symbol" w:cs="Segoe UI Symbol"/>
                    <w:sz w:val="20"/>
                    <w:szCs w:val="20"/>
                    <w:lang w:val="en-GB"/>
                  </w:rPr>
                  <w:t>☒</w:t>
                </w:r>
              </w:sdtContent>
            </w:sdt>
          </w:p>
        </w:tc>
        <w:tc>
          <w:tcPr>
            <w:tcW w:w="487" w:type="pct"/>
          </w:tcPr>
          <w:p w14:paraId="51647E35" w14:textId="6F48AB72" w:rsidR="00BF5668" w:rsidRPr="009B39EC" w:rsidRDefault="00A65624" w:rsidP="00BF5668">
            <w:pPr>
              <w:jc w:val="both"/>
              <w:rPr>
                <w:rFonts w:ascii="Arial" w:hAnsi="Arial" w:cs="Arial"/>
                <w:sz w:val="20"/>
                <w:szCs w:val="20"/>
                <w:lang w:val="en-GB"/>
              </w:rPr>
            </w:pPr>
            <w:r w:rsidRPr="009B39EC">
              <w:rPr>
                <w:rFonts w:ascii="Arial" w:hAnsi="Arial" w:cs="Arial"/>
                <w:sz w:val="20"/>
                <w:szCs w:val="20"/>
                <w:lang w:val="en-GB"/>
              </w:rPr>
              <w:t xml:space="preserve">No </w:t>
            </w:r>
            <w:sdt>
              <w:sdtPr>
                <w:rPr>
                  <w:rFonts w:ascii="Arial" w:hAnsi="Arial" w:cs="Arial"/>
                  <w:sz w:val="20"/>
                  <w:szCs w:val="20"/>
                  <w:lang w:val="en-GB"/>
                </w:rPr>
                <w:id w:val="-260534313"/>
                <w14:checkbox>
                  <w14:checked w14:val="0"/>
                  <w14:checkedState w14:val="2612" w14:font="MS Gothic"/>
                  <w14:uncheckedState w14:val="2610" w14:font="MS Gothic"/>
                </w14:checkbox>
              </w:sdtPr>
              <w:sdtEndPr/>
              <w:sdtContent>
                <w:r w:rsidR="00BF5668" w:rsidRPr="009B39EC">
                  <w:rPr>
                    <w:rFonts w:ascii="Segoe UI Symbol" w:eastAsia="MS Gothic" w:hAnsi="Segoe UI Symbol" w:cs="Segoe UI Symbol"/>
                    <w:sz w:val="20"/>
                    <w:szCs w:val="20"/>
                    <w:lang w:val="en-GB"/>
                  </w:rPr>
                  <w:t>☐</w:t>
                </w:r>
              </w:sdtContent>
            </w:sdt>
          </w:p>
        </w:tc>
      </w:tr>
      <w:tr w:rsidR="00BF5668" w:rsidRPr="009B39EC" w14:paraId="6EC1F9DE" w14:textId="77777777" w:rsidTr="004860C4">
        <w:tc>
          <w:tcPr>
            <w:tcW w:w="216" w:type="pct"/>
          </w:tcPr>
          <w:p w14:paraId="23B2ABA0"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30.1</w:t>
            </w:r>
          </w:p>
        </w:tc>
        <w:tc>
          <w:tcPr>
            <w:tcW w:w="4784" w:type="pct"/>
            <w:gridSpan w:val="3"/>
          </w:tcPr>
          <w:p w14:paraId="6C70B9A7" w14:textId="3999F541" w:rsidR="00FF5CBB" w:rsidRPr="009B39EC" w:rsidRDefault="002A16E9" w:rsidP="00FF5CBB">
            <w:pPr>
              <w:jc w:val="both"/>
              <w:rPr>
                <w:rFonts w:ascii="Arial" w:hAnsi="Arial" w:cs="Arial"/>
                <w:sz w:val="20"/>
                <w:szCs w:val="20"/>
                <w:lang w:val="en-GB"/>
              </w:rPr>
            </w:pPr>
            <w:r w:rsidRPr="009B39EC">
              <w:rPr>
                <w:rFonts w:ascii="Arial" w:hAnsi="Arial" w:cs="Arial"/>
                <w:sz w:val="20"/>
                <w:szCs w:val="20"/>
                <w:lang w:val="en-GB"/>
              </w:rPr>
              <w:t>If yes, please specify</w:t>
            </w:r>
            <w:r w:rsidR="00FF5CBB" w:rsidRPr="009B39EC">
              <w:rPr>
                <w:rFonts w:ascii="Arial" w:hAnsi="Arial" w:cs="Arial"/>
                <w:sz w:val="20"/>
                <w:szCs w:val="20"/>
                <w:lang w:val="en-GB"/>
              </w:rPr>
              <w:t>:</w:t>
            </w:r>
          </w:p>
          <w:p w14:paraId="52883287" w14:textId="68738EF0" w:rsidR="002C7EBE" w:rsidRPr="009B39EC" w:rsidRDefault="002C7EBE" w:rsidP="00FF5CBB">
            <w:pPr>
              <w:jc w:val="both"/>
              <w:rPr>
                <w:rFonts w:ascii="Arial" w:hAnsi="Arial" w:cs="Arial"/>
                <w:sz w:val="20"/>
                <w:szCs w:val="20"/>
                <w:lang w:val="en-GB"/>
              </w:rPr>
            </w:pPr>
          </w:p>
          <w:p w14:paraId="4117520E" w14:textId="6227D6E1" w:rsidR="001D1F80" w:rsidRPr="009B39EC" w:rsidRDefault="0041062A" w:rsidP="00B45A2C">
            <w:pPr>
              <w:jc w:val="both"/>
              <w:rPr>
                <w:rFonts w:ascii="Arial" w:hAnsi="Arial" w:cs="Arial"/>
                <w:sz w:val="20"/>
                <w:szCs w:val="20"/>
                <w:lang w:val="en-GB"/>
              </w:rPr>
            </w:pPr>
            <w:r w:rsidRPr="009B39EC">
              <w:rPr>
                <w:rFonts w:ascii="Arial" w:hAnsi="Arial" w:cs="Arial"/>
                <w:sz w:val="20"/>
                <w:szCs w:val="20"/>
                <w:lang w:val="en-GB"/>
              </w:rPr>
              <w:lastRenderedPageBreak/>
              <w:t>The 2018 amendments to Law No.</w:t>
            </w:r>
            <w:r w:rsidR="006D01A8" w:rsidRPr="009B39EC">
              <w:rPr>
                <w:rFonts w:ascii="Arial" w:hAnsi="Arial" w:cs="Arial"/>
                <w:sz w:val="20"/>
                <w:szCs w:val="20"/>
                <w:lang w:val="en-GB"/>
              </w:rPr>
              <w:t xml:space="preserve"> 9669/2006 “</w:t>
            </w:r>
            <w:r w:rsidRPr="009B39EC">
              <w:rPr>
                <w:rFonts w:ascii="Arial" w:hAnsi="Arial" w:cs="Arial"/>
                <w:sz w:val="20"/>
                <w:szCs w:val="20"/>
                <w:lang w:val="en-GB"/>
              </w:rPr>
              <w:t>On measures against violence in family relations</w:t>
            </w:r>
            <w:r w:rsidR="006D01A8" w:rsidRPr="009B39EC">
              <w:rPr>
                <w:rFonts w:ascii="Arial" w:hAnsi="Arial" w:cs="Arial"/>
                <w:sz w:val="20"/>
                <w:szCs w:val="20"/>
                <w:lang w:val="en-GB"/>
              </w:rPr>
              <w:t>” (L</w:t>
            </w:r>
            <w:r w:rsidRPr="009B39EC">
              <w:rPr>
                <w:rFonts w:ascii="Arial" w:hAnsi="Arial" w:cs="Arial"/>
                <w:sz w:val="20"/>
                <w:szCs w:val="20"/>
                <w:lang w:val="en-GB"/>
              </w:rPr>
              <w:t>aw No.</w:t>
            </w:r>
            <w:r w:rsidR="006D01A8" w:rsidRPr="009B39EC">
              <w:rPr>
                <w:rFonts w:ascii="Arial" w:hAnsi="Arial" w:cs="Arial"/>
                <w:sz w:val="20"/>
                <w:szCs w:val="20"/>
                <w:lang w:val="en-GB"/>
              </w:rPr>
              <w:t xml:space="preserve"> 47/2018)</w:t>
            </w:r>
            <w:r w:rsidRPr="009B39EC">
              <w:rPr>
                <w:rFonts w:ascii="Arial" w:hAnsi="Arial" w:cs="Arial"/>
                <w:sz w:val="20"/>
                <w:szCs w:val="20"/>
                <w:lang w:val="en-GB"/>
              </w:rPr>
              <w:t xml:space="preserve"> </w:t>
            </w:r>
            <w:r w:rsidR="001D1F80" w:rsidRPr="009B39EC">
              <w:rPr>
                <w:rFonts w:ascii="Arial" w:hAnsi="Arial" w:cs="Arial"/>
                <w:sz w:val="20"/>
                <w:szCs w:val="20"/>
                <w:lang w:val="en-GB"/>
              </w:rPr>
              <w:t xml:space="preserve">provide for a new protection </w:t>
            </w:r>
            <w:r w:rsidR="009B39EC" w:rsidRPr="009B39EC">
              <w:rPr>
                <w:rFonts w:ascii="Arial" w:hAnsi="Arial" w:cs="Arial"/>
                <w:sz w:val="20"/>
                <w:szCs w:val="20"/>
                <w:lang w:val="en-GB"/>
              </w:rPr>
              <w:t>measure -</w:t>
            </w:r>
            <w:r w:rsidR="001D1F80" w:rsidRPr="009B39EC">
              <w:rPr>
                <w:rFonts w:ascii="Arial" w:hAnsi="Arial" w:cs="Arial"/>
                <w:sz w:val="20"/>
                <w:szCs w:val="20"/>
                <w:lang w:val="en-GB"/>
              </w:rPr>
              <w:t xml:space="preserve"> order for immediate emergency protection order – issued by the State Police, when the risk assessment indicates that the </w:t>
            </w:r>
            <w:proofErr w:type="spellStart"/>
            <w:r w:rsidR="001D1F80" w:rsidRPr="009B39EC">
              <w:rPr>
                <w:rFonts w:ascii="Arial" w:hAnsi="Arial" w:cs="Arial"/>
                <w:sz w:val="20"/>
                <w:szCs w:val="20"/>
                <w:lang w:val="en-GB"/>
              </w:rPr>
              <w:t>commited</w:t>
            </w:r>
            <w:proofErr w:type="spellEnd"/>
            <w:r w:rsidR="001D1F80" w:rsidRPr="009B39EC">
              <w:rPr>
                <w:rFonts w:ascii="Arial" w:hAnsi="Arial" w:cs="Arial"/>
                <w:sz w:val="20"/>
                <w:szCs w:val="20"/>
                <w:lang w:val="en-GB"/>
              </w:rPr>
              <w:t xml:space="preserve"> violence</w:t>
            </w:r>
            <w:r w:rsidR="00B45A2C" w:rsidRPr="009B39EC">
              <w:rPr>
                <w:rFonts w:ascii="Arial" w:hAnsi="Arial" w:cs="Arial"/>
                <w:sz w:val="20"/>
                <w:szCs w:val="20"/>
                <w:lang w:val="en-GB"/>
              </w:rPr>
              <w:t xml:space="preserve"> poses a risk to the life, </w:t>
            </w:r>
            <w:proofErr w:type="gramStart"/>
            <w:r w:rsidR="00B45A2C" w:rsidRPr="009B39EC">
              <w:rPr>
                <w:rFonts w:ascii="Arial" w:hAnsi="Arial" w:cs="Arial"/>
                <w:sz w:val="20"/>
                <w:szCs w:val="20"/>
                <w:lang w:val="en-GB"/>
              </w:rPr>
              <w:t>health</w:t>
            </w:r>
            <w:proofErr w:type="gramEnd"/>
            <w:r w:rsidR="00B45A2C" w:rsidRPr="009B39EC">
              <w:rPr>
                <w:rFonts w:ascii="Arial" w:hAnsi="Arial" w:cs="Arial"/>
                <w:sz w:val="20"/>
                <w:szCs w:val="20"/>
                <w:lang w:val="en-GB"/>
              </w:rPr>
              <w:t xml:space="preserve"> and liberties of the members of the family. This order is immediately enforced and </w:t>
            </w:r>
            <w:proofErr w:type="spellStart"/>
            <w:r w:rsidR="00B45A2C" w:rsidRPr="009B39EC">
              <w:rPr>
                <w:rFonts w:ascii="Arial" w:hAnsi="Arial" w:cs="Arial"/>
                <w:sz w:val="20"/>
                <w:szCs w:val="20"/>
                <w:lang w:val="en-GB"/>
              </w:rPr>
              <w:t>asesed</w:t>
            </w:r>
            <w:proofErr w:type="spellEnd"/>
            <w:r w:rsidR="00B45A2C" w:rsidRPr="009B39EC">
              <w:rPr>
                <w:rFonts w:ascii="Arial" w:hAnsi="Arial" w:cs="Arial"/>
                <w:sz w:val="20"/>
                <w:szCs w:val="20"/>
                <w:lang w:val="en-GB"/>
              </w:rPr>
              <w:t xml:space="preserve"> within 48 hours by the Court, which could impose an emergency protection order. In addition, the 2018 amendments include </w:t>
            </w:r>
            <w:proofErr w:type="gramStart"/>
            <w:r w:rsidR="00B45A2C" w:rsidRPr="009B39EC">
              <w:rPr>
                <w:rFonts w:ascii="Arial" w:hAnsi="Arial" w:cs="Arial"/>
                <w:sz w:val="20"/>
                <w:szCs w:val="20"/>
                <w:lang w:val="en-GB"/>
              </w:rPr>
              <w:t>a number of</w:t>
            </w:r>
            <w:proofErr w:type="gramEnd"/>
            <w:r w:rsidR="00B45A2C" w:rsidRPr="009B39EC">
              <w:rPr>
                <w:rFonts w:ascii="Arial" w:hAnsi="Arial" w:cs="Arial"/>
                <w:sz w:val="20"/>
                <w:szCs w:val="20"/>
                <w:lang w:val="en-GB"/>
              </w:rPr>
              <w:t xml:space="preserve"> provisions on the effective </w:t>
            </w:r>
            <w:proofErr w:type="spellStart"/>
            <w:r w:rsidR="00B45A2C" w:rsidRPr="009B39EC">
              <w:rPr>
                <w:rFonts w:ascii="Arial" w:hAnsi="Arial" w:cs="Arial"/>
                <w:sz w:val="20"/>
                <w:szCs w:val="20"/>
                <w:lang w:val="en-GB"/>
              </w:rPr>
              <w:t>eforcment</w:t>
            </w:r>
            <w:proofErr w:type="spellEnd"/>
            <w:r w:rsidR="00B45A2C" w:rsidRPr="009B39EC">
              <w:rPr>
                <w:rFonts w:ascii="Arial" w:hAnsi="Arial" w:cs="Arial"/>
                <w:sz w:val="20"/>
                <w:szCs w:val="20"/>
                <w:lang w:val="en-GB"/>
              </w:rPr>
              <w:t xml:space="preserve"> of Emergency Protection Orders and Protection Orders. </w:t>
            </w:r>
          </w:p>
          <w:p w14:paraId="36B3AD7E" w14:textId="77777777" w:rsidR="001D1F80" w:rsidRPr="009B39EC" w:rsidRDefault="001D1F80" w:rsidP="001D1F80">
            <w:pPr>
              <w:jc w:val="both"/>
              <w:rPr>
                <w:rFonts w:ascii="Arial" w:hAnsi="Arial" w:cs="Arial"/>
                <w:sz w:val="20"/>
                <w:szCs w:val="20"/>
                <w:lang w:val="en-GB"/>
              </w:rPr>
            </w:pPr>
          </w:p>
          <w:p w14:paraId="343F6EE5" w14:textId="51AE0F3E" w:rsidR="006D01A8" w:rsidRPr="009B39EC" w:rsidRDefault="006D01A8" w:rsidP="00FF5CBB">
            <w:pPr>
              <w:jc w:val="both"/>
              <w:rPr>
                <w:rFonts w:ascii="Arial" w:hAnsi="Arial" w:cs="Arial"/>
                <w:sz w:val="20"/>
                <w:szCs w:val="20"/>
                <w:lang w:val="en-GB"/>
              </w:rPr>
            </w:pPr>
          </w:p>
          <w:p w14:paraId="506899D0" w14:textId="54FDDBB4" w:rsidR="006D01A8" w:rsidRPr="009B39EC" w:rsidRDefault="000D7BBE" w:rsidP="00823895">
            <w:pPr>
              <w:rPr>
                <w:rFonts w:ascii="Arial" w:hAnsi="Arial" w:cs="Arial"/>
                <w:sz w:val="20"/>
                <w:szCs w:val="20"/>
                <w:lang w:val="en-GB"/>
              </w:rPr>
            </w:pPr>
            <w:r w:rsidRPr="009B39EC">
              <w:rPr>
                <w:rFonts w:ascii="Arial" w:hAnsi="Arial" w:cs="Arial"/>
                <w:sz w:val="20"/>
                <w:szCs w:val="20"/>
                <w:lang w:val="en-GB"/>
              </w:rPr>
              <w:t>Article</w:t>
            </w:r>
            <w:r w:rsidR="006D01A8" w:rsidRPr="009B39EC">
              <w:rPr>
                <w:rFonts w:ascii="Arial" w:hAnsi="Arial" w:cs="Arial"/>
                <w:sz w:val="20"/>
                <w:szCs w:val="20"/>
                <w:lang w:val="en-GB"/>
              </w:rPr>
              <w:t xml:space="preserve"> 19</w:t>
            </w:r>
            <w:r w:rsidRPr="009B39EC">
              <w:rPr>
                <w:rFonts w:ascii="Arial" w:hAnsi="Arial" w:cs="Arial"/>
                <w:sz w:val="20"/>
                <w:szCs w:val="20"/>
                <w:lang w:val="en-GB"/>
              </w:rPr>
              <w:t xml:space="preserve">, paragraph </w:t>
            </w:r>
            <w:r w:rsidR="006D01A8" w:rsidRPr="009B39EC">
              <w:rPr>
                <w:rFonts w:ascii="Arial" w:hAnsi="Arial" w:cs="Arial"/>
                <w:sz w:val="20"/>
                <w:szCs w:val="20"/>
                <w:lang w:val="en-GB"/>
              </w:rPr>
              <w:t xml:space="preserve">2 </w:t>
            </w:r>
            <w:r w:rsidR="00823895" w:rsidRPr="009B39EC">
              <w:rPr>
                <w:rFonts w:ascii="Arial" w:hAnsi="Arial" w:cs="Arial"/>
                <w:sz w:val="20"/>
                <w:szCs w:val="20"/>
                <w:lang w:val="en-GB"/>
              </w:rPr>
              <w:t>–</w:t>
            </w:r>
            <w:r w:rsidR="006D01A8" w:rsidRPr="009B39EC">
              <w:rPr>
                <w:rFonts w:ascii="Arial" w:hAnsi="Arial" w:cs="Arial"/>
                <w:sz w:val="20"/>
                <w:szCs w:val="20"/>
                <w:lang w:val="en-GB"/>
              </w:rPr>
              <w:t xml:space="preserve"> </w:t>
            </w:r>
            <w:r w:rsidR="00823895" w:rsidRPr="009B39EC">
              <w:rPr>
                <w:rFonts w:ascii="Arial" w:hAnsi="Arial" w:cs="Arial"/>
                <w:sz w:val="20"/>
                <w:szCs w:val="20"/>
                <w:lang w:val="en-GB"/>
              </w:rPr>
              <w:t xml:space="preserve">The Court </w:t>
            </w:r>
            <w:r w:rsidR="00823895" w:rsidRPr="009B39EC">
              <w:rPr>
                <w:rFonts w:ascii="Arial" w:hAnsi="Arial" w:cs="Arial"/>
                <w:b/>
                <w:bCs/>
                <w:i/>
                <w:iCs/>
                <w:sz w:val="20"/>
                <w:szCs w:val="20"/>
                <w:lang w:val="en-GB"/>
              </w:rPr>
              <w:t>shall not deny issuance of an emergency protection order because of the existence of any other pending judicial proceedings</w:t>
            </w:r>
            <w:r w:rsidR="00823895" w:rsidRPr="009B39EC">
              <w:rPr>
                <w:rFonts w:ascii="Arial" w:hAnsi="Arial" w:cs="Arial"/>
                <w:sz w:val="20"/>
                <w:szCs w:val="20"/>
                <w:lang w:val="en-GB"/>
              </w:rPr>
              <w:t xml:space="preserve"> involving any party</w:t>
            </w:r>
            <w:r w:rsidR="006D01A8" w:rsidRPr="009B39EC">
              <w:rPr>
                <w:rFonts w:ascii="Arial" w:hAnsi="Arial" w:cs="Arial"/>
                <w:sz w:val="20"/>
                <w:szCs w:val="20"/>
                <w:lang w:val="en-GB"/>
              </w:rPr>
              <w:t>.</w:t>
            </w:r>
          </w:p>
          <w:p w14:paraId="632A5A84" w14:textId="787107E7" w:rsidR="006D01A8" w:rsidRPr="009B39EC" w:rsidRDefault="00264A56" w:rsidP="00823895">
            <w:pPr>
              <w:rPr>
                <w:rFonts w:ascii="Arial" w:hAnsi="Arial" w:cs="Arial"/>
                <w:sz w:val="20"/>
                <w:szCs w:val="20"/>
                <w:lang w:val="en-GB"/>
              </w:rPr>
            </w:pPr>
            <w:r w:rsidRPr="009B39EC">
              <w:rPr>
                <w:rFonts w:ascii="Arial" w:hAnsi="Arial" w:cs="Arial"/>
                <w:sz w:val="20"/>
                <w:szCs w:val="20"/>
                <w:lang w:val="en-GB"/>
              </w:rPr>
              <w:t xml:space="preserve">Article 19, paragraph 2/1 – The Court </w:t>
            </w:r>
            <w:r w:rsidRPr="009B39EC">
              <w:rPr>
                <w:rFonts w:ascii="Arial" w:hAnsi="Arial" w:cs="Arial"/>
                <w:b/>
                <w:bCs/>
                <w:i/>
                <w:iCs/>
                <w:sz w:val="20"/>
                <w:szCs w:val="20"/>
                <w:lang w:val="en-GB"/>
              </w:rPr>
              <w:t>shall issue a protection order even in cases where the parties claim that the conflict has been resolved or</w:t>
            </w:r>
            <w:r w:rsidRPr="009B39EC">
              <w:rPr>
                <w:rFonts w:ascii="Arial" w:hAnsi="Arial" w:cs="Arial"/>
                <w:sz w:val="20"/>
                <w:szCs w:val="20"/>
                <w:lang w:val="en-GB"/>
              </w:rPr>
              <w:t xml:space="preserve"> should be resolved by a process of reconciliation or mediation.</w:t>
            </w:r>
          </w:p>
          <w:p w14:paraId="18757831" w14:textId="67A84455" w:rsidR="006D01A8" w:rsidRPr="009B39EC" w:rsidRDefault="000D7BBE" w:rsidP="006D01A8">
            <w:pPr>
              <w:jc w:val="both"/>
              <w:rPr>
                <w:rFonts w:ascii="Arial" w:hAnsi="Arial" w:cs="Arial"/>
                <w:sz w:val="20"/>
                <w:szCs w:val="20"/>
                <w:lang w:val="en-GB"/>
              </w:rPr>
            </w:pPr>
            <w:r w:rsidRPr="009B39EC">
              <w:rPr>
                <w:rFonts w:ascii="Arial" w:hAnsi="Arial" w:cs="Arial"/>
                <w:sz w:val="20"/>
                <w:szCs w:val="20"/>
                <w:lang w:val="en-GB"/>
              </w:rPr>
              <w:t>Article</w:t>
            </w:r>
            <w:r w:rsidR="006D01A8" w:rsidRPr="009B39EC">
              <w:rPr>
                <w:rFonts w:ascii="Arial" w:hAnsi="Arial" w:cs="Arial"/>
                <w:sz w:val="20"/>
                <w:szCs w:val="20"/>
                <w:lang w:val="en-GB"/>
              </w:rPr>
              <w:t xml:space="preserve"> 19</w:t>
            </w:r>
            <w:r w:rsidRPr="009B39EC">
              <w:rPr>
                <w:rFonts w:ascii="Arial" w:hAnsi="Arial" w:cs="Arial"/>
                <w:sz w:val="20"/>
                <w:szCs w:val="20"/>
                <w:lang w:val="en-GB"/>
              </w:rPr>
              <w:t xml:space="preserve">, paragraph </w:t>
            </w:r>
            <w:r w:rsidR="006D01A8" w:rsidRPr="009B39EC">
              <w:rPr>
                <w:rFonts w:ascii="Arial" w:hAnsi="Arial" w:cs="Arial"/>
                <w:sz w:val="20"/>
                <w:szCs w:val="20"/>
                <w:lang w:val="en-GB"/>
              </w:rPr>
              <w:t xml:space="preserve">6 </w:t>
            </w:r>
            <w:r w:rsidR="00823895" w:rsidRPr="009B39EC">
              <w:rPr>
                <w:rFonts w:ascii="Arial" w:hAnsi="Arial" w:cs="Arial"/>
                <w:sz w:val="20"/>
                <w:szCs w:val="20"/>
                <w:lang w:val="en-GB"/>
              </w:rPr>
              <w:t>–</w:t>
            </w:r>
            <w:r w:rsidR="006D01A8" w:rsidRPr="009B39EC">
              <w:rPr>
                <w:rFonts w:ascii="Arial" w:hAnsi="Arial" w:cs="Arial"/>
                <w:sz w:val="20"/>
                <w:szCs w:val="20"/>
                <w:lang w:val="en-GB"/>
              </w:rPr>
              <w:t xml:space="preserve"> </w:t>
            </w:r>
            <w:r w:rsidR="00823895" w:rsidRPr="009B39EC">
              <w:rPr>
                <w:rFonts w:ascii="Arial" w:hAnsi="Arial" w:cs="Arial"/>
                <w:sz w:val="20"/>
                <w:szCs w:val="20"/>
                <w:lang w:val="en-GB"/>
              </w:rPr>
              <w:t xml:space="preserve">The Court decision issuing an emergency protection </w:t>
            </w:r>
            <w:r w:rsidR="00823895" w:rsidRPr="009B39EC">
              <w:rPr>
                <w:rFonts w:ascii="Arial" w:hAnsi="Arial" w:cs="Arial"/>
                <w:b/>
                <w:bCs/>
                <w:i/>
                <w:iCs/>
                <w:sz w:val="20"/>
                <w:szCs w:val="20"/>
                <w:lang w:val="en-GB"/>
              </w:rPr>
              <w:t>order is an executive order and cannot be appealed</w:t>
            </w:r>
            <w:r w:rsidR="006D01A8" w:rsidRPr="009B39EC">
              <w:rPr>
                <w:rFonts w:ascii="Arial" w:hAnsi="Arial" w:cs="Arial"/>
                <w:sz w:val="20"/>
                <w:szCs w:val="20"/>
                <w:lang w:val="en-GB"/>
              </w:rPr>
              <w:t xml:space="preserve">. </w:t>
            </w:r>
            <w:r w:rsidR="00823895" w:rsidRPr="009B39EC">
              <w:rPr>
                <w:rFonts w:ascii="Arial" w:hAnsi="Arial" w:cs="Arial"/>
                <w:sz w:val="20"/>
                <w:szCs w:val="20"/>
                <w:lang w:val="en-GB"/>
              </w:rPr>
              <w:t xml:space="preserve">The decision is executed with immediate effect by the police, in collaboration with the bailiff service </w:t>
            </w:r>
            <w:r w:rsidR="00C42D48" w:rsidRPr="009B39EC">
              <w:rPr>
                <w:rFonts w:ascii="Arial" w:hAnsi="Arial" w:cs="Arial"/>
                <w:sz w:val="20"/>
                <w:szCs w:val="20"/>
                <w:lang w:val="en-GB"/>
              </w:rPr>
              <w:t>and the social services of five of the local self-government unit where the victim and other persons referred to in the order reside permanently or temporarily</w:t>
            </w:r>
            <w:r w:rsidR="006D01A8" w:rsidRPr="009B39EC">
              <w:rPr>
                <w:rFonts w:ascii="Arial" w:hAnsi="Arial" w:cs="Arial"/>
                <w:sz w:val="20"/>
                <w:szCs w:val="20"/>
                <w:lang w:val="en-GB"/>
              </w:rPr>
              <w:t>.</w:t>
            </w:r>
          </w:p>
          <w:p w14:paraId="79241D88" w14:textId="08078DF7" w:rsidR="0067427E" w:rsidRPr="009B39EC" w:rsidRDefault="000D7BBE" w:rsidP="006D01A8">
            <w:pPr>
              <w:jc w:val="both"/>
              <w:rPr>
                <w:rFonts w:ascii="Arial" w:hAnsi="Arial" w:cs="Arial"/>
                <w:sz w:val="20"/>
                <w:szCs w:val="20"/>
                <w:lang w:val="en-GB"/>
              </w:rPr>
            </w:pPr>
            <w:r w:rsidRPr="009B39EC">
              <w:rPr>
                <w:rFonts w:ascii="Arial" w:hAnsi="Arial" w:cs="Arial"/>
                <w:sz w:val="20"/>
                <w:szCs w:val="20"/>
                <w:lang w:val="en-GB"/>
              </w:rPr>
              <w:t>Article</w:t>
            </w:r>
            <w:r w:rsidR="0067427E" w:rsidRPr="009B39EC">
              <w:rPr>
                <w:rFonts w:ascii="Arial" w:hAnsi="Arial" w:cs="Arial"/>
                <w:sz w:val="20"/>
                <w:szCs w:val="20"/>
                <w:lang w:val="en-GB"/>
              </w:rPr>
              <w:t xml:space="preserve"> 23</w:t>
            </w:r>
            <w:r w:rsidRPr="009B39EC">
              <w:rPr>
                <w:rFonts w:ascii="Arial" w:hAnsi="Arial" w:cs="Arial"/>
                <w:sz w:val="20"/>
                <w:szCs w:val="20"/>
                <w:lang w:val="en-GB"/>
              </w:rPr>
              <w:t xml:space="preserve">, paragraph </w:t>
            </w:r>
            <w:r w:rsidR="0067427E" w:rsidRPr="009B39EC">
              <w:rPr>
                <w:rFonts w:ascii="Arial" w:hAnsi="Arial" w:cs="Arial"/>
                <w:sz w:val="20"/>
                <w:szCs w:val="20"/>
                <w:lang w:val="en-GB"/>
              </w:rPr>
              <w:t xml:space="preserve">1 - </w:t>
            </w:r>
            <w:r w:rsidR="00C42D48" w:rsidRPr="009B39EC">
              <w:rPr>
                <w:rFonts w:ascii="Arial" w:hAnsi="Arial" w:cs="Arial"/>
                <w:sz w:val="20"/>
                <w:szCs w:val="20"/>
                <w:lang w:val="en-GB"/>
              </w:rPr>
              <w:t xml:space="preserve">The judicial decision issuing the protection </w:t>
            </w:r>
            <w:r w:rsidR="00C42D48" w:rsidRPr="009B39EC">
              <w:rPr>
                <w:rFonts w:ascii="Arial" w:hAnsi="Arial" w:cs="Arial"/>
                <w:b/>
                <w:bCs/>
                <w:i/>
                <w:iCs/>
                <w:sz w:val="20"/>
                <w:szCs w:val="20"/>
                <w:lang w:val="en-GB"/>
              </w:rPr>
              <w:t>is final and constitutes an executive order that comes into effect on the day it is pronounced by the Court</w:t>
            </w:r>
            <w:r w:rsidR="00C42D48" w:rsidRPr="009B39EC">
              <w:rPr>
                <w:rFonts w:ascii="Arial" w:hAnsi="Arial" w:cs="Arial"/>
                <w:sz w:val="20"/>
                <w:szCs w:val="20"/>
                <w:lang w:val="en-GB"/>
              </w:rPr>
              <w:t xml:space="preserve">. In addition to the </w:t>
            </w:r>
            <w:r w:rsidR="00264A56" w:rsidRPr="009B39EC">
              <w:rPr>
                <w:rFonts w:ascii="Arial" w:hAnsi="Arial" w:cs="Arial"/>
                <w:sz w:val="20"/>
                <w:szCs w:val="20"/>
                <w:lang w:val="en-GB"/>
              </w:rPr>
              <w:t>emergency</w:t>
            </w:r>
            <w:r w:rsidR="00C42D48" w:rsidRPr="009B39EC">
              <w:rPr>
                <w:rFonts w:ascii="Arial" w:hAnsi="Arial" w:cs="Arial"/>
                <w:sz w:val="20"/>
                <w:szCs w:val="20"/>
                <w:lang w:val="en-GB"/>
              </w:rPr>
              <w:t xml:space="preserve"> protection order, the Court also issues an order for its execution. The decision is executed </w:t>
            </w:r>
            <w:r w:rsidR="00C42D48" w:rsidRPr="009B39EC">
              <w:rPr>
                <w:rFonts w:ascii="Arial" w:hAnsi="Arial" w:cs="Arial"/>
                <w:b/>
                <w:bCs/>
                <w:i/>
                <w:iCs/>
                <w:sz w:val="20"/>
                <w:szCs w:val="20"/>
                <w:lang w:val="en-GB"/>
              </w:rPr>
              <w:t>with immediate effect by the State Police bodies, in collaboration with the bailiff service and the social services of five of the local self-government unit where the victim and other persons referred to in the order reside permanently or temporarily</w:t>
            </w:r>
            <w:r w:rsidR="0067427E" w:rsidRPr="009B39EC">
              <w:rPr>
                <w:rFonts w:ascii="Arial" w:hAnsi="Arial" w:cs="Arial"/>
                <w:sz w:val="20"/>
                <w:szCs w:val="20"/>
                <w:lang w:val="en-GB"/>
              </w:rPr>
              <w:t>.</w:t>
            </w:r>
          </w:p>
          <w:p w14:paraId="08FB3F25" w14:textId="36455A2C" w:rsidR="002C7EBE" w:rsidRPr="009B39EC" w:rsidRDefault="000D7BBE" w:rsidP="00FF5CBB">
            <w:pPr>
              <w:jc w:val="both"/>
              <w:rPr>
                <w:rFonts w:ascii="Arial" w:hAnsi="Arial" w:cs="Arial"/>
                <w:sz w:val="20"/>
                <w:szCs w:val="20"/>
                <w:lang w:val="en-GB"/>
              </w:rPr>
            </w:pPr>
            <w:r w:rsidRPr="009B39EC">
              <w:rPr>
                <w:rFonts w:ascii="Arial" w:hAnsi="Arial" w:cs="Arial"/>
                <w:sz w:val="20"/>
                <w:szCs w:val="20"/>
                <w:lang w:val="en-GB"/>
              </w:rPr>
              <w:t>Article</w:t>
            </w:r>
            <w:r w:rsidR="0067427E" w:rsidRPr="009B39EC">
              <w:rPr>
                <w:rFonts w:ascii="Arial" w:hAnsi="Arial" w:cs="Arial"/>
                <w:sz w:val="20"/>
                <w:szCs w:val="20"/>
                <w:lang w:val="en-GB"/>
              </w:rPr>
              <w:t xml:space="preserve"> 23</w:t>
            </w:r>
            <w:r w:rsidRPr="009B39EC">
              <w:rPr>
                <w:rFonts w:ascii="Arial" w:hAnsi="Arial" w:cs="Arial"/>
                <w:sz w:val="20"/>
                <w:szCs w:val="20"/>
                <w:lang w:val="en-GB"/>
              </w:rPr>
              <w:t xml:space="preserve">, paragraph </w:t>
            </w:r>
            <w:r w:rsidR="0067427E" w:rsidRPr="009B39EC">
              <w:rPr>
                <w:rFonts w:ascii="Arial" w:hAnsi="Arial" w:cs="Arial"/>
                <w:sz w:val="20"/>
                <w:szCs w:val="20"/>
                <w:lang w:val="en-GB"/>
              </w:rPr>
              <w:t xml:space="preserve">3/1 </w:t>
            </w:r>
            <w:r w:rsidR="001D103C" w:rsidRPr="009B39EC">
              <w:rPr>
                <w:rFonts w:ascii="Arial" w:hAnsi="Arial" w:cs="Arial"/>
                <w:sz w:val="20"/>
                <w:szCs w:val="20"/>
                <w:lang w:val="en-GB"/>
              </w:rPr>
              <w:t>–</w:t>
            </w:r>
            <w:r w:rsidR="0067427E" w:rsidRPr="009B39EC">
              <w:rPr>
                <w:rFonts w:ascii="Arial" w:hAnsi="Arial" w:cs="Arial"/>
                <w:sz w:val="20"/>
                <w:szCs w:val="20"/>
                <w:lang w:val="en-GB"/>
              </w:rPr>
              <w:t xml:space="preserve"> </w:t>
            </w:r>
            <w:r w:rsidR="001D103C" w:rsidRPr="009B39EC">
              <w:rPr>
                <w:rFonts w:ascii="Arial" w:hAnsi="Arial" w:cs="Arial"/>
                <w:sz w:val="20"/>
                <w:szCs w:val="20"/>
                <w:lang w:val="en-GB"/>
              </w:rPr>
              <w:t xml:space="preserve">For the </w:t>
            </w:r>
            <w:r w:rsidR="00F22BF2" w:rsidRPr="009B39EC">
              <w:rPr>
                <w:rFonts w:ascii="Arial" w:hAnsi="Arial" w:cs="Arial"/>
                <w:sz w:val="20"/>
                <w:szCs w:val="20"/>
                <w:lang w:val="en-GB"/>
              </w:rPr>
              <w:t xml:space="preserve">entire </w:t>
            </w:r>
            <w:r w:rsidR="001D103C" w:rsidRPr="009B39EC">
              <w:rPr>
                <w:rFonts w:ascii="Arial" w:hAnsi="Arial" w:cs="Arial"/>
                <w:sz w:val="20"/>
                <w:szCs w:val="20"/>
                <w:lang w:val="en-GB"/>
              </w:rPr>
              <w:t xml:space="preserve">duration of judicial decision on EPO/PO, </w:t>
            </w:r>
            <w:r w:rsidR="001D103C" w:rsidRPr="009B39EC">
              <w:rPr>
                <w:rFonts w:ascii="Arial" w:hAnsi="Arial" w:cs="Arial"/>
                <w:b/>
                <w:bCs/>
                <w:sz w:val="20"/>
                <w:szCs w:val="20"/>
                <w:lang w:val="en-GB"/>
              </w:rPr>
              <w:t xml:space="preserve">the social services office of the local self-government unit </w:t>
            </w:r>
            <w:r w:rsidR="009404AB" w:rsidRPr="009B39EC">
              <w:rPr>
                <w:rFonts w:ascii="Arial" w:hAnsi="Arial" w:cs="Arial"/>
                <w:b/>
                <w:bCs/>
                <w:sz w:val="20"/>
                <w:szCs w:val="20"/>
                <w:lang w:val="en-GB"/>
              </w:rPr>
              <w:t xml:space="preserve">shall </w:t>
            </w:r>
            <w:r w:rsidR="001D103C" w:rsidRPr="009B39EC">
              <w:rPr>
                <w:rFonts w:ascii="Arial" w:hAnsi="Arial" w:cs="Arial"/>
                <w:b/>
                <w:bCs/>
                <w:sz w:val="20"/>
                <w:szCs w:val="20"/>
                <w:lang w:val="en-GB"/>
              </w:rPr>
              <w:t xml:space="preserve">monitor </w:t>
            </w:r>
            <w:r w:rsidR="009404AB" w:rsidRPr="009B39EC">
              <w:rPr>
                <w:rFonts w:ascii="Arial" w:hAnsi="Arial" w:cs="Arial"/>
                <w:b/>
                <w:bCs/>
                <w:sz w:val="20"/>
                <w:szCs w:val="20"/>
                <w:lang w:val="en-GB"/>
              </w:rPr>
              <w:t xml:space="preserve">the </w:t>
            </w:r>
            <w:r w:rsidR="001D103C" w:rsidRPr="009B39EC">
              <w:rPr>
                <w:rFonts w:ascii="Arial" w:hAnsi="Arial" w:cs="Arial"/>
                <w:b/>
                <w:bCs/>
                <w:sz w:val="20"/>
                <w:szCs w:val="20"/>
                <w:lang w:val="en-GB"/>
              </w:rPr>
              <w:t xml:space="preserve">compliance </w:t>
            </w:r>
            <w:r w:rsidR="009404AB" w:rsidRPr="009B39EC">
              <w:rPr>
                <w:rFonts w:ascii="Arial" w:hAnsi="Arial" w:cs="Arial"/>
                <w:b/>
                <w:bCs/>
                <w:sz w:val="20"/>
                <w:szCs w:val="20"/>
                <w:lang w:val="en-GB"/>
              </w:rPr>
              <w:t xml:space="preserve">of the parties </w:t>
            </w:r>
            <w:r w:rsidR="001D103C" w:rsidRPr="009B39EC">
              <w:rPr>
                <w:rFonts w:ascii="Arial" w:hAnsi="Arial" w:cs="Arial"/>
                <w:b/>
                <w:bCs/>
                <w:sz w:val="20"/>
                <w:szCs w:val="20"/>
                <w:lang w:val="en-GB"/>
              </w:rPr>
              <w:t>with the terms of the order</w:t>
            </w:r>
            <w:r w:rsidR="001D103C" w:rsidRPr="009B39EC">
              <w:rPr>
                <w:rFonts w:ascii="Arial" w:hAnsi="Arial" w:cs="Arial"/>
                <w:sz w:val="20"/>
                <w:szCs w:val="20"/>
                <w:lang w:val="en-GB"/>
              </w:rPr>
              <w:t xml:space="preserve"> and prepare a report</w:t>
            </w:r>
            <w:r w:rsidR="009404AB" w:rsidRPr="009B39EC">
              <w:rPr>
                <w:rFonts w:ascii="Arial" w:hAnsi="Arial" w:cs="Arial"/>
                <w:sz w:val="20"/>
                <w:szCs w:val="20"/>
                <w:lang w:val="en-GB"/>
              </w:rPr>
              <w:t xml:space="preserve"> every 60 days</w:t>
            </w:r>
            <w:r w:rsidR="001D103C" w:rsidRPr="009B39EC">
              <w:rPr>
                <w:rFonts w:ascii="Arial" w:hAnsi="Arial" w:cs="Arial"/>
                <w:sz w:val="20"/>
                <w:szCs w:val="20"/>
                <w:lang w:val="en-GB"/>
              </w:rPr>
              <w:t>, which</w:t>
            </w:r>
            <w:r w:rsidR="009404AB" w:rsidRPr="009B39EC">
              <w:rPr>
                <w:rFonts w:ascii="Arial" w:hAnsi="Arial" w:cs="Arial"/>
                <w:sz w:val="20"/>
                <w:szCs w:val="20"/>
                <w:lang w:val="en-GB"/>
              </w:rPr>
              <w:t>, in every case,</w:t>
            </w:r>
            <w:r w:rsidR="001D103C" w:rsidRPr="009B39EC">
              <w:rPr>
                <w:rFonts w:ascii="Arial" w:hAnsi="Arial" w:cs="Arial"/>
                <w:sz w:val="20"/>
                <w:szCs w:val="20"/>
                <w:lang w:val="en-GB"/>
              </w:rPr>
              <w:t xml:space="preserve"> </w:t>
            </w:r>
            <w:r w:rsidR="00F22BF2" w:rsidRPr="009B39EC">
              <w:rPr>
                <w:rFonts w:ascii="Arial" w:hAnsi="Arial" w:cs="Arial"/>
                <w:sz w:val="20"/>
                <w:szCs w:val="20"/>
                <w:lang w:val="en-GB"/>
              </w:rPr>
              <w:t xml:space="preserve">shall </w:t>
            </w:r>
            <w:r w:rsidR="001D103C" w:rsidRPr="009B39EC">
              <w:rPr>
                <w:rFonts w:ascii="Arial" w:hAnsi="Arial" w:cs="Arial"/>
                <w:sz w:val="20"/>
                <w:szCs w:val="20"/>
                <w:lang w:val="en-GB"/>
              </w:rPr>
              <w:t xml:space="preserve">also </w:t>
            </w:r>
            <w:r w:rsidR="00F22BF2" w:rsidRPr="009B39EC">
              <w:rPr>
                <w:rFonts w:ascii="Arial" w:hAnsi="Arial" w:cs="Arial"/>
                <w:sz w:val="20"/>
                <w:szCs w:val="20"/>
                <w:lang w:val="en-GB"/>
              </w:rPr>
              <w:t xml:space="preserve">be </w:t>
            </w:r>
            <w:r w:rsidR="001D103C" w:rsidRPr="009B39EC">
              <w:rPr>
                <w:rFonts w:ascii="Arial" w:hAnsi="Arial" w:cs="Arial"/>
                <w:sz w:val="20"/>
                <w:szCs w:val="20"/>
                <w:lang w:val="en-GB"/>
              </w:rPr>
              <w:t xml:space="preserve">made known </w:t>
            </w:r>
            <w:r w:rsidR="001D103C" w:rsidRPr="009B39EC">
              <w:rPr>
                <w:rFonts w:ascii="Arial" w:hAnsi="Arial" w:cs="Arial"/>
                <w:b/>
                <w:bCs/>
                <w:i/>
                <w:iCs/>
                <w:sz w:val="20"/>
                <w:szCs w:val="20"/>
                <w:lang w:val="en-GB"/>
              </w:rPr>
              <w:t>to the State Police</w:t>
            </w:r>
            <w:r w:rsidR="0067427E" w:rsidRPr="009B39EC">
              <w:rPr>
                <w:rFonts w:ascii="Arial" w:hAnsi="Arial" w:cs="Arial"/>
                <w:sz w:val="20"/>
                <w:szCs w:val="20"/>
                <w:lang w:val="en-GB"/>
              </w:rPr>
              <w:t xml:space="preserve">. </w:t>
            </w:r>
            <w:r w:rsidR="009404AB" w:rsidRPr="009B39EC">
              <w:rPr>
                <w:rFonts w:ascii="Arial" w:hAnsi="Arial" w:cs="Arial"/>
                <w:sz w:val="20"/>
                <w:szCs w:val="20"/>
                <w:lang w:val="en-GB"/>
              </w:rPr>
              <w:t xml:space="preserve">The parties referred to in the judicial decision collaborate to ensure home visits by representatives </w:t>
            </w:r>
            <w:r w:rsidR="00846A69" w:rsidRPr="009B39EC">
              <w:rPr>
                <w:rFonts w:ascii="Arial" w:hAnsi="Arial" w:cs="Arial"/>
                <w:sz w:val="20"/>
                <w:szCs w:val="20"/>
                <w:lang w:val="en-GB"/>
              </w:rPr>
              <w:t>from the</w:t>
            </w:r>
            <w:r w:rsidR="009404AB" w:rsidRPr="009B39EC">
              <w:rPr>
                <w:rFonts w:ascii="Arial" w:hAnsi="Arial" w:cs="Arial"/>
                <w:sz w:val="20"/>
                <w:szCs w:val="20"/>
                <w:lang w:val="en-GB"/>
              </w:rPr>
              <w:t xml:space="preserve"> social services office of the local self-government unit and the responsible institutions, as ordered in the Court decision </w:t>
            </w:r>
            <w:r w:rsidR="00F22BF2" w:rsidRPr="009B39EC">
              <w:rPr>
                <w:rFonts w:ascii="Arial" w:hAnsi="Arial" w:cs="Arial"/>
                <w:sz w:val="20"/>
                <w:szCs w:val="20"/>
                <w:lang w:val="en-GB"/>
              </w:rPr>
              <w:t xml:space="preserve">issuing </w:t>
            </w:r>
            <w:r w:rsidR="009404AB" w:rsidRPr="009B39EC">
              <w:rPr>
                <w:rFonts w:ascii="Arial" w:hAnsi="Arial" w:cs="Arial"/>
                <w:sz w:val="20"/>
                <w:szCs w:val="20"/>
                <w:lang w:val="en-GB"/>
              </w:rPr>
              <w:t>the emergency protection order/protection order, also providing the necessary relevant information</w:t>
            </w:r>
            <w:r w:rsidR="0067427E" w:rsidRPr="009B39EC">
              <w:rPr>
                <w:rFonts w:ascii="Arial" w:hAnsi="Arial" w:cs="Arial"/>
                <w:sz w:val="20"/>
                <w:szCs w:val="20"/>
                <w:lang w:val="en-GB"/>
              </w:rPr>
              <w:t>.</w:t>
            </w:r>
          </w:p>
          <w:p w14:paraId="0725C3C9" w14:textId="4E0221B7" w:rsidR="0067427E" w:rsidRPr="009B39EC" w:rsidRDefault="000D7BBE" w:rsidP="00FF5CBB">
            <w:pPr>
              <w:jc w:val="both"/>
              <w:rPr>
                <w:rFonts w:ascii="Arial" w:hAnsi="Arial" w:cs="Arial"/>
                <w:sz w:val="20"/>
                <w:szCs w:val="20"/>
                <w:lang w:val="en-GB"/>
              </w:rPr>
            </w:pPr>
            <w:r w:rsidRPr="009B39EC">
              <w:rPr>
                <w:rFonts w:ascii="Arial" w:hAnsi="Arial" w:cs="Arial"/>
                <w:sz w:val="20"/>
                <w:szCs w:val="20"/>
                <w:lang w:val="en-GB"/>
              </w:rPr>
              <w:t>Article</w:t>
            </w:r>
            <w:r w:rsidR="0067427E" w:rsidRPr="009B39EC">
              <w:rPr>
                <w:rFonts w:ascii="Arial" w:hAnsi="Arial" w:cs="Arial"/>
                <w:sz w:val="20"/>
                <w:szCs w:val="20"/>
                <w:lang w:val="en-GB"/>
              </w:rPr>
              <w:t xml:space="preserve"> 23</w:t>
            </w:r>
            <w:r w:rsidRPr="009B39EC">
              <w:rPr>
                <w:rFonts w:ascii="Arial" w:hAnsi="Arial" w:cs="Arial"/>
                <w:sz w:val="20"/>
                <w:szCs w:val="20"/>
                <w:lang w:val="en-GB"/>
              </w:rPr>
              <w:t xml:space="preserve">, paragraph </w:t>
            </w:r>
            <w:r w:rsidR="0067427E" w:rsidRPr="009B39EC">
              <w:rPr>
                <w:rFonts w:ascii="Arial" w:hAnsi="Arial" w:cs="Arial"/>
                <w:sz w:val="20"/>
                <w:szCs w:val="20"/>
                <w:lang w:val="en-GB"/>
              </w:rPr>
              <w:t xml:space="preserve">6 - </w:t>
            </w:r>
            <w:r w:rsidR="009404AB" w:rsidRPr="009B39EC">
              <w:rPr>
                <w:rFonts w:ascii="Arial" w:hAnsi="Arial" w:cs="Arial"/>
                <w:sz w:val="20"/>
                <w:szCs w:val="20"/>
                <w:lang w:val="en-GB"/>
              </w:rPr>
              <w:t xml:space="preserve">In case of voluntary non-execution by the parties or </w:t>
            </w:r>
            <w:r w:rsidR="00F22BF2" w:rsidRPr="009B39EC">
              <w:rPr>
                <w:rFonts w:ascii="Arial" w:hAnsi="Arial" w:cs="Arial"/>
                <w:sz w:val="20"/>
                <w:szCs w:val="20"/>
                <w:lang w:val="en-GB"/>
              </w:rPr>
              <w:t xml:space="preserve">in case of </w:t>
            </w:r>
            <w:r w:rsidR="009404AB" w:rsidRPr="009B39EC">
              <w:rPr>
                <w:rFonts w:ascii="Arial" w:hAnsi="Arial" w:cs="Arial"/>
                <w:sz w:val="20"/>
                <w:szCs w:val="20"/>
                <w:lang w:val="en-GB"/>
              </w:rPr>
              <w:t>obstructi</w:t>
            </w:r>
            <w:r w:rsidR="00F22BF2" w:rsidRPr="009B39EC">
              <w:rPr>
                <w:rFonts w:ascii="Arial" w:hAnsi="Arial" w:cs="Arial"/>
                <w:sz w:val="20"/>
                <w:szCs w:val="20"/>
                <w:lang w:val="en-GB"/>
              </w:rPr>
              <w:t>ng</w:t>
            </w:r>
            <w:r w:rsidR="009404AB" w:rsidRPr="009B39EC">
              <w:rPr>
                <w:rFonts w:ascii="Arial" w:hAnsi="Arial" w:cs="Arial"/>
                <w:sz w:val="20"/>
                <w:szCs w:val="20"/>
                <w:lang w:val="en-GB"/>
              </w:rPr>
              <w:t xml:space="preserve"> </w:t>
            </w:r>
            <w:r w:rsidR="00F22BF2" w:rsidRPr="009B39EC">
              <w:rPr>
                <w:rFonts w:ascii="Arial" w:hAnsi="Arial" w:cs="Arial"/>
                <w:sz w:val="20"/>
                <w:szCs w:val="20"/>
                <w:lang w:val="en-GB"/>
              </w:rPr>
              <w:t xml:space="preserve">the </w:t>
            </w:r>
            <w:r w:rsidR="009404AB" w:rsidRPr="009B39EC">
              <w:rPr>
                <w:rFonts w:ascii="Arial" w:hAnsi="Arial" w:cs="Arial"/>
                <w:sz w:val="20"/>
                <w:szCs w:val="20"/>
                <w:lang w:val="en-GB"/>
              </w:rPr>
              <w:t xml:space="preserve">execution of protection orders by enforcement bodies, as provided for in the provisions of this law and/or in the court decision, </w:t>
            </w:r>
            <w:r w:rsidR="009404AB" w:rsidRPr="009B39EC">
              <w:rPr>
                <w:rFonts w:ascii="Arial" w:hAnsi="Arial" w:cs="Arial"/>
                <w:b/>
                <w:bCs/>
                <w:i/>
                <w:iCs/>
                <w:sz w:val="20"/>
                <w:szCs w:val="20"/>
                <w:lang w:val="en-GB"/>
              </w:rPr>
              <w:t>the provisions of the Criminal Code apply to persons responsible for acts committed</w:t>
            </w:r>
            <w:r w:rsidR="009404AB" w:rsidRPr="009B39EC">
              <w:rPr>
                <w:rFonts w:ascii="Arial" w:hAnsi="Arial" w:cs="Arial"/>
                <w:sz w:val="20"/>
                <w:szCs w:val="20"/>
                <w:lang w:val="en-GB"/>
              </w:rPr>
              <w:t xml:space="preserve"> in violation of </w:t>
            </w:r>
            <w:r w:rsidR="00F22BF2" w:rsidRPr="009B39EC">
              <w:rPr>
                <w:rFonts w:ascii="Arial" w:hAnsi="Arial" w:cs="Arial"/>
                <w:sz w:val="20"/>
                <w:szCs w:val="20"/>
                <w:lang w:val="en-GB"/>
              </w:rPr>
              <w:t xml:space="preserve">the </w:t>
            </w:r>
            <w:r w:rsidR="009404AB" w:rsidRPr="009B39EC">
              <w:rPr>
                <w:rFonts w:ascii="Arial" w:hAnsi="Arial" w:cs="Arial"/>
                <w:sz w:val="20"/>
                <w:szCs w:val="20"/>
                <w:lang w:val="en-GB"/>
              </w:rPr>
              <w:t>court decision</w:t>
            </w:r>
            <w:r w:rsidR="00F22BF2" w:rsidRPr="009B39EC">
              <w:rPr>
                <w:rFonts w:ascii="Arial" w:hAnsi="Arial" w:cs="Arial"/>
                <w:sz w:val="20"/>
                <w:szCs w:val="20"/>
                <w:lang w:val="en-GB"/>
              </w:rPr>
              <w:t xml:space="preserve"> vis a vis the </w:t>
            </w:r>
            <w:r w:rsidR="009404AB" w:rsidRPr="009B39EC">
              <w:rPr>
                <w:rFonts w:ascii="Arial" w:hAnsi="Arial" w:cs="Arial"/>
                <w:sz w:val="20"/>
                <w:szCs w:val="20"/>
                <w:lang w:val="en-GB"/>
              </w:rPr>
              <w:t xml:space="preserve">duties </w:t>
            </w:r>
            <w:r w:rsidR="00F22BF2" w:rsidRPr="009B39EC">
              <w:rPr>
                <w:rFonts w:ascii="Arial" w:hAnsi="Arial" w:cs="Arial"/>
                <w:sz w:val="20"/>
                <w:szCs w:val="20"/>
                <w:lang w:val="en-GB"/>
              </w:rPr>
              <w:t xml:space="preserve">specified in the </w:t>
            </w:r>
            <w:r w:rsidR="009404AB" w:rsidRPr="009B39EC">
              <w:rPr>
                <w:rFonts w:ascii="Arial" w:hAnsi="Arial" w:cs="Arial"/>
                <w:sz w:val="20"/>
                <w:szCs w:val="20"/>
                <w:lang w:val="en-GB"/>
              </w:rPr>
              <w:t>protection orders.</w:t>
            </w:r>
          </w:p>
          <w:p w14:paraId="7636B3AD" w14:textId="77777777" w:rsidR="009404AB" w:rsidRPr="009B39EC" w:rsidRDefault="009404AB" w:rsidP="0067427E">
            <w:pPr>
              <w:jc w:val="both"/>
              <w:rPr>
                <w:rFonts w:ascii="Arial" w:hAnsi="Arial" w:cs="Arial"/>
                <w:sz w:val="20"/>
                <w:szCs w:val="20"/>
                <w:lang w:val="en-GB"/>
              </w:rPr>
            </w:pPr>
          </w:p>
          <w:p w14:paraId="4ECBC64E" w14:textId="52498348" w:rsidR="0067427E" w:rsidRPr="009B39EC" w:rsidRDefault="009404AB" w:rsidP="0067427E">
            <w:pPr>
              <w:jc w:val="both"/>
              <w:rPr>
                <w:rFonts w:ascii="Arial" w:hAnsi="Arial" w:cs="Arial"/>
                <w:sz w:val="20"/>
                <w:szCs w:val="20"/>
                <w:lang w:val="en-GB"/>
              </w:rPr>
            </w:pPr>
            <w:r w:rsidRPr="009B39EC">
              <w:rPr>
                <w:rFonts w:ascii="Arial" w:hAnsi="Arial" w:cs="Arial"/>
                <w:sz w:val="20"/>
                <w:szCs w:val="20"/>
                <w:lang w:val="en-GB"/>
              </w:rPr>
              <w:t>The 2020 amendments to this Law</w:t>
            </w:r>
            <w:r w:rsidR="0067427E" w:rsidRPr="009B39EC">
              <w:rPr>
                <w:rFonts w:ascii="Arial" w:hAnsi="Arial" w:cs="Arial"/>
                <w:sz w:val="20"/>
                <w:szCs w:val="20"/>
                <w:lang w:val="en-GB"/>
              </w:rPr>
              <w:t xml:space="preserve"> (</w:t>
            </w:r>
            <w:r w:rsidRPr="009B39EC">
              <w:rPr>
                <w:rFonts w:ascii="Arial" w:hAnsi="Arial" w:cs="Arial"/>
                <w:sz w:val="20"/>
                <w:szCs w:val="20"/>
                <w:lang w:val="en-GB"/>
              </w:rPr>
              <w:t>Law No.</w:t>
            </w:r>
            <w:r w:rsidR="0067427E" w:rsidRPr="009B39EC">
              <w:rPr>
                <w:rFonts w:ascii="Arial" w:hAnsi="Arial" w:cs="Arial"/>
                <w:sz w:val="20"/>
                <w:szCs w:val="20"/>
                <w:lang w:val="en-GB"/>
              </w:rPr>
              <w:t xml:space="preserve"> 125/2020) </w:t>
            </w:r>
            <w:r w:rsidR="00F22BF2" w:rsidRPr="009B39EC">
              <w:rPr>
                <w:rFonts w:ascii="Arial" w:hAnsi="Arial" w:cs="Arial"/>
                <w:sz w:val="20"/>
                <w:szCs w:val="20"/>
                <w:lang w:val="en-GB"/>
              </w:rPr>
              <w:t xml:space="preserve">addressed the situation created </w:t>
            </w:r>
            <w:proofErr w:type="gramStart"/>
            <w:r w:rsidR="00F22BF2" w:rsidRPr="009B39EC">
              <w:rPr>
                <w:rFonts w:ascii="Arial" w:hAnsi="Arial" w:cs="Arial"/>
                <w:sz w:val="20"/>
                <w:szCs w:val="20"/>
                <w:lang w:val="en-GB"/>
              </w:rPr>
              <w:t>as a result of</w:t>
            </w:r>
            <w:proofErr w:type="gramEnd"/>
            <w:r w:rsidR="00F22BF2" w:rsidRPr="009B39EC">
              <w:rPr>
                <w:rFonts w:ascii="Arial" w:hAnsi="Arial" w:cs="Arial"/>
                <w:sz w:val="20"/>
                <w:szCs w:val="20"/>
                <w:lang w:val="en-GB"/>
              </w:rPr>
              <w:t xml:space="preserve"> the </w:t>
            </w:r>
            <w:r w:rsidRPr="009B39EC">
              <w:rPr>
                <w:rFonts w:ascii="Arial" w:hAnsi="Arial" w:cs="Arial"/>
                <w:sz w:val="20"/>
                <w:szCs w:val="20"/>
                <w:lang w:val="en-GB"/>
              </w:rPr>
              <w:t xml:space="preserve">Covid-19 pandemic. </w:t>
            </w:r>
            <w:r w:rsidR="00846A69" w:rsidRPr="009B39EC">
              <w:rPr>
                <w:rFonts w:ascii="Arial" w:hAnsi="Arial" w:cs="Arial"/>
                <w:sz w:val="20"/>
                <w:szCs w:val="20"/>
                <w:lang w:val="en-GB"/>
              </w:rPr>
              <w:t xml:space="preserve">Thus, Article 13/1 was amended as follows (paragraph 3/1) – where a state of emergency is declared throughout the territory of the country or a part thereof, the head of the responsible State Police structure shall </w:t>
            </w:r>
            <w:proofErr w:type="gramStart"/>
            <w:r w:rsidR="00846A69" w:rsidRPr="009B39EC">
              <w:rPr>
                <w:rFonts w:ascii="Arial" w:hAnsi="Arial" w:cs="Arial"/>
                <w:sz w:val="20"/>
                <w:szCs w:val="20"/>
                <w:lang w:val="en-GB"/>
              </w:rPr>
              <w:t>be in charge of</w:t>
            </w:r>
            <w:proofErr w:type="gramEnd"/>
            <w:r w:rsidR="00846A69" w:rsidRPr="009B39EC">
              <w:rPr>
                <w:rFonts w:ascii="Arial" w:hAnsi="Arial" w:cs="Arial"/>
                <w:sz w:val="20"/>
                <w:szCs w:val="20"/>
                <w:lang w:val="en-GB"/>
              </w:rPr>
              <w:t xml:space="preserve"> issuing orders for preliminary protection measures for emergency protection order, pursuant to paragraph 2 of this Article, in all cases where a finding of use of violence has been made. </w:t>
            </w:r>
            <w:r w:rsidR="00C342F9" w:rsidRPr="009B39EC">
              <w:rPr>
                <w:rFonts w:ascii="Arial" w:hAnsi="Arial" w:cs="Arial"/>
                <w:sz w:val="20"/>
                <w:szCs w:val="20"/>
                <w:lang w:val="en-GB"/>
              </w:rPr>
              <w:t>During the entire period in which the state of emergency is in force</w:t>
            </w:r>
            <w:r w:rsidR="0025140C" w:rsidRPr="009B39EC">
              <w:rPr>
                <w:rFonts w:ascii="Arial" w:hAnsi="Arial" w:cs="Arial"/>
                <w:sz w:val="20"/>
                <w:szCs w:val="20"/>
                <w:lang w:val="en-GB"/>
              </w:rPr>
              <w:t xml:space="preserve">, </w:t>
            </w:r>
            <w:r w:rsidR="00C342F9" w:rsidRPr="009B39EC">
              <w:rPr>
                <w:rFonts w:ascii="Arial" w:hAnsi="Arial" w:cs="Arial"/>
                <w:sz w:val="20"/>
                <w:szCs w:val="20"/>
                <w:lang w:val="en-GB"/>
              </w:rPr>
              <w:t xml:space="preserve">in </w:t>
            </w:r>
            <w:proofErr w:type="gramStart"/>
            <w:r w:rsidR="0025140C" w:rsidRPr="009B39EC">
              <w:rPr>
                <w:rFonts w:ascii="Arial" w:hAnsi="Arial" w:cs="Arial"/>
                <w:sz w:val="20"/>
                <w:szCs w:val="20"/>
                <w:lang w:val="en-GB"/>
              </w:rPr>
              <w:t>submitting an application</w:t>
            </w:r>
            <w:proofErr w:type="gramEnd"/>
            <w:r w:rsidR="0025140C" w:rsidRPr="009B39EC">
              <w:rPr>
                <w:rFonts w:ascii="Arial" w:hAnsi="Arial" w:cs="Arial"/>
                <w:sz w:val="20"/>
                <w:szCs w:val="20"/>
                <w:lang w:val="en-GB"/>
              </w:rPr>
              <w:t xml:space="preserve"> </w:t>
            </w:r>
            <w:r w:rsidR="00C342F9" w:rsidRPr="009B39EC">
              <w:rPr>
                <w:rFonts w:ascii="Arial" w:hAnsi="Arial" w:cs="Arial"/>
                <w:sz w:val="20"/>
                <w:szCs w:val="20"/>
                <w:lang w:val="en-GB"/>
              </w:rPr>
              <w:t xml:space="preserve">to the Court </w:t>
            </w:r>
            <w:r w:rsidR="0025140C" w:rsidRPr="009B39EC">
              <w:rPr>
                <w:rFonts w:ascii="Arial" w:hAnsi="Arial" w:cs="Arial"/>
                <w:sz w:val="20"/>
                <w:szCs w:val="20"/>
                <w:lang w:val="en-GB"/>
              </w:rPr>
              <w:t xml:space="preserve">for </w:t>
            </w:r>
            <w:r w:rsidR="00C342F9" w:rsidRPr="009B39EC">
              <w:rPr>
                <w:rFonts w:ascii="Arial" w:hAnsi="Arial" w:cs="Arial"/>
                <w:sz w:val="20"/>
                <w:szCs w:val="20"/>
                <w:lang w:val="en-GB"/>
              </w:rPr>
              <w:t>the</w:t>
            </w:r>
            <w:r w:rsidR="0025140C" w:rsidRPr="009B39EC">
              <w:rPr>
                <w:rFonts w:ascii="Arial" w:hAnsi="Arial" w:cs="Arial"/>
                <w:sz w:val="20"/>
                <w:szCs w:val="20"/>
                <w:lang w:val="en-GB"/>
              </w:rPr>
              <w:t xml:space="preserve"> evaluation of the preliminary protection measures, </w:t>
            </w:r>
            <w:r w:rsidR="00C342F9" w:rsidRPr="009B39EC">
              <w:rPr>
                <w:rFonts w:ascii="Arial" w:hAnsi="Arial" w:cs="Arial"/>
                <w:sz w:val="20"/>
                <w:szCs w:val="20"/>
                <w:lang w:val="en-GB"/>
              </w:rPr>
              <w:t>as imposed in the</w:t>
            </w:r>
            <w:r w:rsidR="0025140C" w:rsidRPr="009B39EC">
              <w:rPr>
                <w:rFonts w:ascii="Arial" w:hAnsi="Arial" w:cs="Arial"/>
                <w:sz w:val="20"/>
                <w:szCs w:val="20"/>
                <w:lang w:val="en-GB"/>
              </w:rPr>
              <w:t xml:space="preserve"> order on preliminary measures for immediate protect</w:t>
            </w:r>
            <w:r w:rsidR="00C342F9" w:rsidRPr="009B39EC">
              <w:rPr>
                <w:rFonts w:ascii="Arial" w:hAnsi="Arial" w:cs="Arial"/>
                <w:sz w:val="20"/>
                <w:szCs w:val="20"/>
                <w:lang w:val="en-GB"/>
              </w:rPr>
              <w:t>io</w:t>
            </w:r>
            <w:r w:rsidR="0025140C" w:rsidRPr="009B39EC">
              <w:rPr>
                <w:rFonts w:ascii="Arial" w:hAnsi="Arial" w:cs="Arial"/>
                <w:sz w:val="20"/>
                <w:szCs w:val="20"/>
                <w:lang w:val="en-GB"/>
              </w:rPr>
              <w:t>n</w:t>
            </w:r>
            <w:r w:rsidR="0067427E" w:rsidRPr="009B39EC">
              <w:rPr>
                <w:rFonts w:ascii="Arial" w:hAnsi="Arial" w:cs="Arial"/>
                <w:sz w:val="20"/>
                <w:szCs w:val="20"/>
                <w:lang w:val="en-GB"/>
              </w:rPr>
              <w:t xml:space="preserve">, </w:t>
            </w:r>
            <w:r w:rsidR="0025140C" w:rsidRPr="009B39EC">
              <w:rPr>
                <w:rFonts w:ascii="Arial" w:hAnsi="Arial" w:cs="Arial"/>
                <w:b/>
                <w:bCs/>
                <w:i/>
                <w:iCs/>
                <w:sz w:val="20"/>
                <w:szCs w:val="20"/>
                <w:lang w:val="en-GB"/>
              </w:rPr>
              <w:t xml:space="preserve">the police shall ask the </w:t>
            </w:r>
            <w:r w:rsidR="00C342F9" w:rsidRPr="009B39EC">
              <w:rPr>
                <w:rFonts w:ascii="Arial" w:hAnsi="Arial" w:cs="Arial"/>
                <w:b/>
                <w:bCs/>
                <w:i/>
                <w:iCs/>
                <w:sz w:val="20"/>
                <w:szCs w:val="20"/>
                <w:lang w:val="en-GB"/>
              </w:rPr>
              <w:t>C</w:t>
            </w:r>
            <w:r w:rsidR="0025140C" w:rsidRPr="009B39EC">
              <w:rPr>
                <w:rFonts w:ascii="Arial" w:hAnsi="Arial" w:cs="Arial"/>
                <w:b/>
                <w:bCs/>
                <w:i/>
                <w:iCs/>
                <w:sz w:val="20"/>
                <w:szCs w:val="20"/>
                <w:lang w:val="en-GB"/>
              </w:rPr>
              <w:t>ourt to issue a protection order, without first asking for the issuance of an emergency protection order</w:t>
            </w:r>
            <w:r w:rsidR="0067427E" w:rsidRPr="009B39EC">
              <w:rPr>
                <w:rFonts w:ascii="Arial" w:hAnsi="Arial" w:cs="Arial"/>
                <w:sz w:val="20"/>
                <w:szCs w:val="20"/>
                <w:lang w:val="en-GB"/>
              </w:rPr>
              <w:t>.”</w:t>
            </w:r>
          </w:p>
          <w:p w14:paraId="34357872" w14:textId="77777777" w:rsidR="00BF5668" w:rsidRPr="009B39EC" w:rsidRDefault="00BF5668" w:rsidP="00BF5668">
            <w:pPr>
              <w:jc w:val="both"/>
              <w:rPr>
                <w:rFonts w:ascii="Arial" w:hAnsi="Arial" w:cs="Arial"/>
                <w:sz w:val="20"/>
                <w:szCs w:val="20"/>
                <w:lang w:val="en-GB"/>
              </w:rPr>
            </w:pPr>
          </w:p>
          <w:p w14:paraId="0934AE4D" w14:textId="77777777" w:rsidR="0067427E" w:rsidRDefault="0025140C" w:rsidP="00BF5668">
            <w:pPr>
              <w:jc w:val="both"/>
              <w:rPr>
                <w:rFonts w:ascii="Arial" w:hAnsi="Arial" w:cs="Arial"/>
                <w:sz w:val="20"/>
                <w:szCs w:val="20"/>
                <w:lang w:val="en-GB"/>
              </w:rPr>
            </w:pPr>
            <w:proofErr w:type="gramStart"/>
            <w:r w:rsidRPr="009B39EC">
              <w:rPr>
                <w:rFonts w:ascii="Arial" w:hAnsi="Arial" w:cs="Arial"/>
                <w:sz w:val="20"/>
                <w:szCs w:val="20"/>
                <w:lang w:val="en-GB"/>
              </w:rPr>
              <w:t>All of</w:t>
            </w:r>
            <w:proofErr w:type="gramEnd"/>
            <w:r w:rsidRPr="009B39EC">
              <w:rPr>
                <w:rFonts w:ascii="Arial" w:hAnsi="Arial" w:cs="Arial"/>
                <w:sz w:val="20"/>
                <w:szCs w:val="20"/>
                <w:lang w:val="en-GB"/>
              </w:rPr>
              <w:t xml:space="preserve"> the above are also clearly reflected in the protocol for the management of cases of domestic violence by </w:t>
            </w:r>
            <w:r w:rsidR="001F1D51" w:rsidRPr="009B39EC">
              <w:rPr>
                <w:rFonts w:ascii="Arial" w:hAnsi="Arial" w:cs="Arial"/>
                <w:sz w:val="20"/>
                <w:szCs w:val="20"/>
                <w:lang w:val="en-GB"/>
              </w:rPr>
              <w:t xml:space="preserve">members of the Coordinated Referral Mechanism, as well as in the Standard Operating Procedures for health care and social services professionals in their capacity as members of the </w:t>
            </w:r>
            <w:r w:rsidR="001F1D51" w:rsidRPr="009B39EC">
              <w:rPr>
                <w:rFonts w:ascii="Arial" w:hAnsi="Arial" w:cs="Arial"/>
                <w:sz w:val="20"/>
                <w:szCs w:val="20"/>
                <w:lang w:val="en-GB"/>
              </w:rPr>
              <w:lastRenderedPageBreak/>
              <w:t>Coordinated Referral Mechanism, to be applied in dealing with cases of domestic violence and gender-based violence</w:t>
            </w:r>
            <w:r w:rsidR="0067427E" w:rsidRPr="009B39EC">
              <w:rPr>
                <w:rFonts w:ascii="Arial" w:hAnsi="Arial" w:cs="Arial"/>
                <w:sz w:val="20"/>
                <w:szCs w:val="20"/>
                <w:lang w:val="en-GB"/>
              </w:rPr>
              <w:t xml:space="preserve">. </w:t>
            </w:r>
            <w:r w:rsidR="001F1D51" w:rsidRPr="009B39EC">
              <w:rPr>
                <w:rFonts w:ascii="Arial" w:hAnsi="Arial" w:cs="Arial"/>
                <w:sz w:val="20"/>
                <w:szCs w:val="20"/>
                <w:lang w:val="en-GB"/>
              </w:rPr>
              <w:t xml:space="preserve">These </w:t>
            </w:r>
            <w:r w:rsidR="00C342F9" w:rsidRPr="009B39EC">
              <w:rPr>
                <w:rFonts w:ascii="Arial" w:hAnsi="Arial" w:cs="Arial"/>
                <w:sz w:val="20"/>
                <w:szCs w:val="20"/>
                <w:lang w:val="en-GB"/>
              </w:rPr>
              <w:t xml:space="preserve">matters </w:t>
            </w:r>
            <w:r w:rsidR="001F1D51" w:rsidRPr="009B39EC">
              <w:rPr>
                <w:rFonts w:ascii="Arial" w:hAnsi="Arial" w:cs="Arial"/>
                <w:sz w:val="20"/>
                <w:szCs w:val="20"/>
                <w:lang w:val="en-GB"/>
              </w:rPr>
              <w:t xml:space="preserve">are also </w:t>
            </w:r>
            <w:r w:rsidR="00C342F9" w:rsidRPr="009B39EC">
              <w:rPr>
                <w:rFonts w:ascii="Arial" w:hAnsi="Arial" w:cs="Arial"/>
                <w:sz w:val="20"/>
                <w:szCs w:val="20"/>
                <w:lang w:val="en-GB"/>
              </w:rPr>
              <w:t xml:space="preserve">regularly discussed </w:t>
            </w:r>
            <w:r w:rsidR="001F1D51" w:rsidRPr="009B39EC">
              <w:rPr>
                <w:rFonts w:ascii="Arial" w:hAnsi="Arial" w:cs="Arial"/>
                <w:sz w:val="20"/>
                <w:szCs w:val="20"/>
                <w:lang w:val="en-GB"/>
              </w:rPr>
              <w:t xml:space="preserve">in all the activities on the strengthening of capacities of professionals involved in the </w:t>
            </w:r>
            <w:r w:rsidR="00264A56" w:rsidRPr="009B39EC">
              <w:rPr>
                <w:rFonts w:ascii="Arial" w:hAnsi="Arial" w:cs="Arial"/>
                <w:sz w:val="20"/>
                <w:szCs w:val="20"/>
                <w:lang w:val="en-GB"/>
              </w:rPr>
              <w:t>management</w:t>
            </w:r>
            <w:r w:rsidR="001F1D51" w:rsidRPr="009B39EC">
              <w:rPr>
                <w:rFonts w:ascii="Arial" w:hAnsi="Arial" w:cs="Arial"/>
                <w:sz w:val="20"/>
                <w:szCs w:val="20"/>
                <w:lang w:val="en-GB"/>
              </w:rPr>
              <w:t xml:space="preserve"> of such cases</w:t>
            </w:r>
            <w:r w:rsidR="004010F7" w:rsidRPr="009B39EC">
              <w:rPr>
                <w:rFonts w:ascii="Arial" w:hAnsi="Arial" w:cs="Arial"/>
                <w:sz w:val="20"/>
                <w:szCs w:val="20"/>
                <w:lang w:val="en-GB"/>
              </w:rPr>
              <w:t xml:space="preserve">. </w:t>
            </w:r>
          </w:p>
          <w:p w14:paraId="6EE55385" w14:textId="2D6B51FA" w:rsidR="009B39EC" w:rsidRPr="009B39EC" w:rsidRDefault="009B39EC" w:rsidP="00BF5668">
            <w:pPr>
              <w:jc w:val="both"/>
              <w:rPr>
                <w:rFonts w:ascii="Arial" w:hAnsi="Arial" w:cs="Arial"/>
                <w:sz w:val="20"/>
                <w:szCs w:val="20"/>
                <w:lang w:val="en-GB"/>
              </w:rPr>
            </w:pPr>
          </w:p>
        </w:tc>
      </w:tr>
      <w:tr w:rsidR="00BF5668" w:rsidRPr="009B39EC" w14:paraId="7598FE6A" w14:textId="77777777" w:rsidTr="004860C4">
        <w:tc>
          <w:tcPr>
            <w:tcW w:w="216" w:type="pct"/>
          </w:tcPr>
          <w:p w14:paraId="229BB0DD"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lastRenderedPageBreak/>
              <w:t>30.2</w:t>
            </w:r>
          </w:p>
        </w:tc>
        <w:tc>
          <w:tcPr>
            <w:tcW w:w="4784" w:type="pct"/>
            <w:gridSpan w:val="3"/>
          </w:tcPr>
          <w:p w14:paraId="4841301F" w14:textId="7BF25558" w:rsidR="00BF5668" w:rsidRPr="009B39EC" w:rsidRDefault="00047815" w:rsidP="00BF5668">
            <w:pPr>
              <w:jc w:val="both"/>
              <w:rPr>
                <w:rFonts w:ascii="Arial" w:hAnsi="Arial" w:cs="Arial"/>
                <w:sz w:val="20"/>
                <w:szCs w:val="20"/>
                <w:lang w:val="en-GB"/>
              </w:rPr>
            </w:pPr>
            <w:r w:rsidRPr="009B39EC">
              <w:rPr>
                <w:rFonts w:ascii="Arial" w:hAnsi="Arial" w:cs="Arial"/>
                <w:sz w:val="20"/>
                <w:szCs w:val="20"/>
                <w:lang w:val="en-GB"/>
              </w:rPr>
              <w:t>[Optional question: if not, please specify the reasons]</w:t>
            </w:r>
            <w:r w:rsidR="00BF5668" w:rsidRPr="009B39EC">
              <w:rPr>
                <w:rFonts w:ascii="Arial" w:hAnsi="Arial" w:cs="Arial"/>
                <w:sz w:val="20"/>
                <w:szCs w:val="20"/>
                <w:lang w:val="en-GB"/>
              </w:rPr>
              <w:t>:</w:t>
            </w:r>
          </w:p>
          <w:p w14:paraId="34F6A808" w14:textId="77777777" w:rsidR="00BF5668" w:rsidRPr="009B39EC" w:rsidRDefault="00BF5668" w:rsidP="00BF5668">
            <w:pPr>
              <w:jc w:val="both"/>
              <w:rPr>
                <w:rFonts w:ascii="Arial" w:hAnsi="Arial" w:cs="Arial"/>
                <w:sz w:val="20"/>
                <w:szCs w:val="20"/>
                <w:lang w:val="en-GB"/>
              </w:rPr>
            </w:pPr>
          </w:p>
        </w:tc>
      </w:tr>
      <w:tr w:rsidR="00BF5668" w:rsidRPr="009B39EC" w14:paraId="79188BC8" w14:textId="77777777" w:rsidTr="004860C4">
        <w:tc>
          <w:tcPr>
            <w:tcW w:w="216" w:type="pct"/>
          </w:tcPr>
          <w:p w14:paraId="09651B9A" w14:textId="77777777" w:rsidR="00BF5668" w:rsidRPr="009B39EC" w:rsidRDefault="00BF5668" w:rsidP="00BF5668">
            <w:pPr>
              <w:jc w:val="both"/>
              <w:rPr>
                <w:rFonts w:ascii="Arial" w:hAnsi="Arial" w:cs="Arial"/>
                <w:sz w:val="20"/>
                <w:szCs w:val="20"/>
                <w:lang w:val="en-GB"/>
              </w:rPr>
            </w:pPr>
            <w:r w:rsidRPr="009B39EC">
              <w:rPr>
                <w:rFonts w:ascii="Arial" w:hAnsi="Arial" w:cs="Arial"/>
                <w:sz w:val="20"/>
                <w:szCs w:val="20"/>
                <w:lang w:val="en-GB"/>
              </w:rPr>
              <w:t>31</w:t>
            </w:r>
          </w:p>
        </w:tc>
        <w:tc>
          <w:tcPr>
            <w:tcW w:w="4784" w:type="pct"/>
            <w:gridSpan w:val="3"/>
          </w:tcPr>
          <w:p w14:paraId="0F1A1631" w14:textId="1BE35F53" w:rsidR="00F83DBA" w:rsidRPr="009B39EC" w:rsidRDefault="00DC74D7" w:rsidP="00F83DBA">
            <w:pPr>
              <w:jc w:val="both"/>
              <w:rPr>
                <w:rFonts w:ascii="Arial" w:hAnsi="Arial" w:cs="Arial"/>
                <w:sz w:val="20"/>
                <w:szCs w:val="20"/>
                <w:lang w:val="en-GB"/>
              </w:rPr>
            </w:pPr>
            <w:r w:rsidRPr="009B39EC">
              <w:rPr>
                <w:rFonts w:ascii="Arial" w:hAnsi="Arial" w:cs="Arial"/>
                <w:sz w:val="20"/>
                <w:szCs w:val="20"/>
                <w:lang w:val="en-GB"/>
              </w:rPr>
              <w:t xml:space="preserve">In case your authorities have taken further measures contributing to the implementation of recommendations in relation to Articles 52 and 53, which were not covered by the questions above, </w:t>
            </w:r>
            <w:proofErr w:type="gramStart"/>
            <w:r w:rsidRPr="009B39EC">
              <w:rPr>
                <w:rFonts w:ascii="Arial" w:hAnsi="Arial" w:cs="Arial"/>
                <w:sz w:val="20"/>
                <w:szCs w:val="20"/>
                <w:lang w:val="en-GB"/>
              </w:rPr>
              <w:t>in particular in</w:t>
            </w:r>
            <w:proofErr w:type="gramEnd"/>
            <w:r w:rsidRPr="009B39EC">
              <w:rPr>
                <w:rFonts w:ascii="Arial" w:hAnsi="Arial" w:cs="Arial"/>
                <w:sz w:val="20"/>
                <w:szCs w:val="20"/>
                <w:lang w:val="en-GB"/>
              </w:rPr>
              <w:t xml:space="preserve"> relation to the collection of data on the number of orders issued and their violations, please report on these measures [word limit: 1000 words]</w:t>
            </w:r>
            <w:r w:rsidR="00F83DBA" w:rsidRPr="009B39EC">
              <w:rPr>
                <w:rFonts w:ascii="Arial" w:hAnsi="Arial" w:cs="Arial"/>
                <w:sz w:val="20"/>
                <w:szCs w:val="20"/>
                <w:lang w:val="en-GB"/>
              </w:rPr>
              <w:t>:</w:t>
            </w:r>
          </w:p>
          <w:p w14:paraId="783F47E2" w14:textId="1497BA87" w:rsidR="00AF1F3B" w:rsidRPr="009B39EC" w:rsidRDefault="00AF1F3B" w:rsidP="00F83DBA">
            <w:pPr>
              <w:jc w:val="both"/>
              <w:rPr>
                <w:rFonts w:ascii="Arial" w:hAnsi="Arial" w:cs="Arial"/>
                <w:sz w:val="20"/>
                <w:szCs w:val="20"/>
                <w:lang w:val="en-GB"/>
              </w:rPr>
            </w:pPr>
          </w:p>
          <w:p w14:paraId="1BDB950D" w14:textId="0E0FF0DA" w:rsidR="004010F7" w:rsidRPr="009B39EC" w:rsidRDefault="000D7BBE" w:rsidP="00F83DBA">
            <w:pPr>
              <w:jc w:val="both"/>
              <w:rPr>
                <w:rFonts w:ascii="Arial" w:hAnsi="Arial" w:cs="Arial"/>
                <w:sz w:val="20"/>
                <w:szCs w:val="20"/>
                <w:lang w:val="en-GB"/>
              </w:rPr>
            </w:pPr>
            <w:r w:rsidRPr="009B39EC">
              <w:rPr>
                <w:rFonts w:ascii="Arial" w:hAnsi="Arial" w:cs="Arial"/>
                <w:sz w:val="20"/>
                <w:szCs w:val="20"/>
                <w:lang w:val="en-GB"/>
              </w:rPr>
              <w:t>As already explained in the answer to question</w:t>
            </w:r>
            <w:r w:rsidR="004010F7" w:rsidRPr="009B39EC">
              <w:rPr>
                <w:rFonts w:ascii="Arial" w:hAnsi="Arial" w:cs="Arial"/>
                <w:sz w:val="20"/>
                <w:szCs w:val="20"/>
                <w:lang w:val="en-GB"/>
              </w:rPr>
              <w:t xml:space="preserve"> 18.1, </w:t>
            </w:r>
            <w:r w:rsidRPr="009B39EC">
              <w:rPr>
                <w:rFonts w:ascii="Arial" w:hAnsi="Arial" w:cs="Arial"/>
                <w:sz w:val="20"/>
                <w:szCs w:val="20"/>
                <w:lang w:val="en-GB"/>
              </w:rPr>
              <w:t xml:space="preserve">data in relation to the number of </w:t>
            </w:r>
            <w:r w:rsidR="00264A56" w:rsidRPr="009B39EC">
              <w:rPr>
                <w:rFonts w:ascii="Arial" w:hAnsi="Arial" w:cs="Arial"/>
                <w:sz w:val="20"/>
                <w:szCs w:val="20"/>
                <w:lang w:val="en-GB"/>
              </w:rPr>
              <w:t>orders</w:t>
            </w:r>
            <w:r w:rsidRPr="009B39EC">
              <w:rPr>
                <w:rFonts w:ascii="Arial" w:hAnsi="Arial" w:cs="Arial"/>
                <w:sz w:val="20"/>
                <w:szCs w:val="20"/>
                <w:lang w:val="en-GB"/>
              </w:rPr>
              <w:t xml:space="preserve"> issues and non-compliance cases are collected by INSTAT and the </w:t>
            </w:r>
            <w:r w:rsidR="004010F7" w:rsidRPr="009B39EC">
              <w:rPr>
                <w:rFonts w:ascii="Arial" w:hAnsi="Arial" w:cs="Arial"/>
                <w:sz w:val="20"/>
                <w:szCs w:val="20"/>
                <w:lang w:val="en-GB"/>
              </w:rPr>
              <w:t>REVALB</w:t>
            </w:r>
            <w:r w:rsidRPr="009B39EC">
              <w:rPr>
                <w:rFonts w:ascii="Arial" w:hAnsi="Arial" w:cs="Arial"/>
                <w:sz w:val="20"/>
                <w:szCs w:val="20"/>
                <w:lang w:val="en-GB"/>
              </w:rPr>
              <w:t xml:space="preserve"> system</w:t>
            </w:r>
            <w:r w:rsidR="004010F7" w:rsidRPr="009B39EC">
              <w:rPr>
                <w:rFonts w:ascii="Arial" w:hAnsi="Arial" w:cs="Arial"/>
                <w:sz w:val="20"/>
                <w:szCs w:val="20"/>
                <w:lang w:val="en-GB"/>
              </w:rPr>
              <w:t>.</w:t>
            </w:r>
          </w:p>
          <w:p w14:paraId="354B844E" w14:textId="2D1F6932" w:rsidR="004010F7" w:rsidRPr="009B39EC" w:rsidRDefault="004010F7" w:rsidP="00F83DBA">
            <w:pPr>
              <w:jc w:val="both"/>
              <w:rPr>
                <w:rFonts w:ascii="Arial" w:hAnsi="Arial" w:cs="Arial"/>
                <w:sz w:val="20"/>
                <w:szCs w:val="20"/>
                <w:lang w:val="en-GB"/>
              </w:rPr>
            </w:pPr>
          </w:p>
          <w:p w14:paraId="29137A3C" w14:textId="0F598297" w:rsidR="004010F7" w:rsidRPr="009B39EC" w:rsidRDefault="000D7BBE" w:rsidP="00F83DBA">
            <w:pPr>
              <w:jc w:val="both"/>
              <w:rPr>
                <w:rFonts w:ascii="Arial" w:hAnsi="Arial" w:cs="Arial"/>
                <w:sz w:val="20"/>
                <w:szCs w:val="20"/>
                <w:lang w:val="en-GB"/>
              </w:rPr>
            </w:pPr>
            <w:r w:rsidRPr="009B39EC">
              <w:rPr>
                <w:rFonts w:ascii="Arial" w:hAnsi="Arial" w:cs="Arial"/>
                <w:sz w:val="20"/>
                <w:szCs w:val="20"/>
                <w:lang w:val="en-GB"/>
              </w:rPr>
              <w:t xml:space="preserve">Data </w:t>
            </w:r>
            <w:r w:rsidR="001F1D51" w:rsidRPr="009B39EC">
              <w:rPr>
                <w:rFonts w:ascii="Arial" w:hAnsi="Arial" w:cs="Arial"/>
                <w:sz w:val="20"/>
                <w:szCs w:val="20"/>
                <w:lang w:val="en-GB"/>
              </w:rPr>
              <w:t>provided by the State Police in relation to the reporting period</w:t>
            </w:r>
            <w:r w:rsidR="004010F7" w:rsidRPr="009B39EC">
              <w:rPr>
                <w:rFonts w:ascii="Arial" w:hAnsi="Arial" w:cs="Arial"/>
                <w:sz w:val="20"/>
                <w:szCs w:val="20"/>
                <w:lang w:val="en-GB"/>
              </w:rPr>
              <w:t>:</w:t>
            </w:r>
          </w:p>
          <w:p w14:paraId="4875F033" w14:textId="562FD1A7" w:rsidR="004010F7" w:rsidRPr="009B39EC" w:rsidRDefault="00850A6E" w:rsidP="004010F7">
            <w:pPr>
              <w:jc w:val="both"/>
              <w:rPr>
                <w:rFonts w:ascii="Arial" w:hAnsi="Arial" w:cs="Arial"/>
                <w:sz w:val="20"/>
                <w:szCs w:val="20"/>
                <w:lang w:val="en-GB"/>
              </w:rPr>
            </w:pPr>
            <w:r w:rsidRPr="009B39EC">
              <w:rPr>
                <w:rFonts w:ascii="Arial" w:hAnsi="Arial" w:cs="Arial"/>
                <w:b/>
                <w:bCs/>
                <w:sz w:val="20"/>
                <w:szCs w:val="20"/>
                <w:lang w:val="en-GB"/>
              </w:rPr>
              <w:t>In 20</w:t>
            </w:r>
            <w:r w:rsidR="004010F7" w:rsidRPr="009B39EC">
              <w:rPr>
                <w:rFonts w:ascii="Arial" w:hAnsi="Arial" w:cs="Arial"/>
                <w:b/>
                <w:bCs/>
                <w:sz w:val="20"/>
                <w:szCs w:val="20"/>
                <w:lang w:val="en-GB"/>
              </w:rPr>
              <w:t>18</w:t>
            </w:r>
            <w:r w:rsidR="004010F7" w:rsidRPr="009B39EC">
              <w:rPr>
                <w:rFonts w:ascii="Arial" w:hAnsi="Arial" w:cs="Arial"/>
                <w:sz w:val="20"/>
                <w:szCs w:val="20"/>
                <w:lang w:val="en-GB"/>
              </w:rPr>
              <w:t xml:space="preserve">, </w:t>
            </w:r>
            <w:r w:rsidR="00CE31A4" w:rsidRPr="009B39EC">
              <w:rPr>
                <w:rFonts w:ascii="Arial" w:hAnsi="Arial" w:cs="Arial"/>
                <w:sz w:val="20"/>
                <w:szCs w:val="20"/>
                <w:lang w:val="en-GB"/>
              </w:rPr>
              <w:t xml:space="preserve">a total of </w:t>
            </w:r>
            <w:r w:rsidR="004010F7" w:rsidRPr="009B39EC">
              <w:rPr>
                <w:rFonts w:ascii="Arial" w:hAnsi="Arial" w:cs="Arial"/>
                <w:sz w:val="20"/>
                <w:szCs w:val="20"/>
                <w:lang w:val="en-GB"/>
              </w:rPr>
              <w:t xml:space="preserve">4951 </w:t>
            </w:r>
            <w:r w:rsidR="007311E8" w:rsidRPr="009B39EC">
              <w:rPr>
                <w:rFonts w:ascii="Arial" w:hAnsi="Arial" w:cs="Arial"/>
                <w:sz w:val="20"/>
                <w:szCs w:val="20"/>
                <w:lang w:val="en-GB"/>
              </w:rPr>
              <w:t>cases of abuse and other domestic crimes</w:t>
            </w:r>
            <w:r w:rsidR="00C342F9" w:rsidRPr="009B39EC">
              <w:rPr>
                <w:rFonts w:ascii="Arial" w:hAnsi="Arial" w:cs="Arial"/>
                <w:sz w:val="20"/>
                <w:szCs w:val="20"/>
                <w:lang w:val="en-GB"/>
              </w:rPr>
              <w:t xml:space="preserve"> were reported</w:t>
            </w:r>
            <w:r w:rsidR="004010F7" w:rsidRPr="009B39EC">
              <w:rPr>
                <w:rFonts w:ascii="Arial" w:hAnsi="Arial" w:cs="Arial"/>
                <w:sz w:val="20"/>
                <w:szCs w:val="20"/>
                <w:lang w:val="en-GB"/>
              </w:rPr>
              <w:t xml:space="preserve">. 1914 </w:t>
            </w:r>
            <w:r w:rsidR="007311E8" w:rsidRPr="009B39EC">
              <w:rPr>
                <w:rFonts w:ascii="Arial" w:hAnsi="Arial" w:cs="Arial"/>
                <w:sz w:val="20"/>
                <w:szCs w:val="20"/>
                <w:lang w:val="en-GB"/>
              </w:rPr>
              <w:t xml:space="preserve">case files were </w:t>
            </w:r>
            <w:r w:rsidR="000A542A" w:rsidRPr="009B39EC">
              <w:rPr>
                <w:rFonts w:ascii="Arial" w:hAnsi="Arial" w:cs="Arial"/>
                <w:sz w:val="20"/>
                <w:szCs w:val="20"/>
                <w:lang w:val="en-GB"/>
              </w:rPr>
              <w:t>forwarded</w:t>
            </w:r>
            <w:r w:rsidR="007311E8" w:rsidRPr="009B39EC">
              <w:rPr>
                <w:rFonts w:ascii="Arial" w:hAnsi="Arial" w:cs="Arial"/>
                <w:sz w:val="20"/>
                <w:szCs w:val="20"/>
                <w:lang w:val="en-GB"/>
              </w:rPr>
              <w:t xml:space="preserve"> to the prosecution office, of which </w:t>
            </w:r>
            <w:r w:rsidR="004010F7" w:rsidRPr="009B39EC">
              <w:rPr>
                <w:rFonts w:ascii="Arial" w:hAnsi="Arial" w:cs="Arial"/>
                <w:sz w:val="20"/>
                <w:szCs w:val="20"/>
                <w:lang w:val="en-GB"/>
              </w:rPr>
              <w:t>1373</w:t>
            </w:r>
            <w:r w:rsidR="007311E8" w:rsidRPr="009B39EC">
              <w:rPr>
                <w:rFonts w:ascii="Arial" w:hAnsi="Arial" w:cs="Arial"/>
                <w:sz w:val="20"/>
                <w:szCs w:val="20"/>
                <w:lang w:val="en-GB"/>
              </w:rPr>
              <w:t xml:space="preserve"> pursuant to Article </w:t>
            </w:r>
            <w:r w:rsidR="004010F7" w:rsidRPr="009B39EC">
              <w:rPr>
                <w:rFonts w:ascii="Arial" w:hAnsi="Arial" w:cs="Arial"/>
                <w:sz w:val="20"/>
                <w:szCs w:val="20"/>
                <w:lang w:val="en-GB"/>
              </w:rPr>
              <w:t>130/a “</w:t>
            </w:r>
            <w:r w:rsidR="00D37DCD" w:rsidRPr="009B39EC">
              <w:rPr>
                <w:rFonts w:ascii="Arial" w:hAnsi="Arial" w:cs="Arial"/>
                <w:sz w:val="20"/>
                <w:szCs w:val="20"/>
                <w:lang w:val="en-GB"/>
              </w:rPr>
              <w:t>Domestic violence</w:t>
            </w:r>
            <w:r w:rsidR="004010F7" w:rsidRPr="009B39EC">
              <w:rPr>
                <w:rFonts w:ascii="Arial" w:hAnsi="Arial" w:cs="Arial"/>
                <w:sz w:val="20"/>
                <w:szCs w:val="20"/>
                <w:lang w:val="en-GB"/>
              </w:rPr>
              <w:t xml:space="preserve">”, </w:t>
            </w:r>
            <w:r w:rsidR="00D37DCD" w:rsidRPr="009B39EC">
              <w:rPr>
                <w:rFonts w:ascii="Arial" w:hAnsi="Arial" w:cs="Arial"/>
                <w:sz w:val="20"/>
                <w:szCs w:val="20"/>
                <w:lang w:val="en-GB"/>
              </w:rPr>
              <w:t xml:space="preserve">and </w:t>
            </w:r>
            <w:r w:rsidR="004010F7" w:rsidRPr="009B39EC">
              <w:rPr>
                <w:rFonts w:ascii="Arial" w:hAnsi="Arial" w:cs="Arial"/>
                <w:sz w:val="20"/>
                <w:szCs w:val="20"/>
                <w:lang w:val="en-GB"/>
              </w:rPr>
              <w:t xml:space="preserve">608 </w:t>
            </w:r>
            <w:r w:rsidR="00D37DCD" w:rsidRPr="009B39EC">
              <w:rPr>
                <w:rFonts w:ascii="Arial" w:hAnsi="Arial" w:cs="Arial"/>
                <w:sz w:val="20"/>
                <w:szCs w:val="20"/>
                <w:lang w:val="en-GB"/>
              </w:rPr>
              <w:t>perpetrators were arrested in flagrantia</w:t>
            </w:r>
            <w:r w:rsidR="004010F7" w:rsidRPr="009B39EC">
              <w:rPr>
                <w:rFonts w:ascii="Arial" w:hAnsi="Arial" w:cs="Arial"/>
                <w:sz w:val="20"/>
                <w:szCs w:val="20"/>
                <w:lang w:val="en-GB"/>
              </w:rPr>
              <w:t xml:space="preserve">. </w:t>
            </w:r>
            <w:r w:rsidR="00D37DCD" w:rsidRPr="009B39EC">
              <w:rPr>
                <w:rFonts w:ascii="Arial" w:hAnsi="Arial" w:cs="Arial"/>
                <w:sz w:val="20"/>
                <w:szCs w:val="20"/>
                <w:lang w:val="en-GB"/>
              </w:rPr>
              <w:t>In 3037 cases of domestic violence applications were made for or Emergency/Immediate protection orders or Protection orders.</w:t>
            </w:r>
            <w:r w:rsidR="004010F7" w:rsidRPr="009B39EC">
              <w:rPr>
                <w:rFonts w:ascii="Arial" w:hAnsi="Arial" w:cs="Arial"/>
                <w:sz w:val="20"/>
                <w:szCs w:val="20"/>
                <w:lang w:val="en-GB"/>
              </w:rPr>
              <w:t xml:space="preserve"> </w:t>
            </w:r>
            <w:r w:rsidR="00D37DCD" w:rsidRPr="009B39EC">
              <w:rPr>
                <w:rFonts w:ascii="Arial" w:hAnsi="Arial" w:cs="Arial"/>
                <w:sz w:val="20"/>
                <w:szCs w:val="20"/>
                <w:lang w:val="en-GB"/>
              </w:rPr>
              <w:t xml:space="preserve">There were 11 </w:t>
            </w:r>
            <w:r w:rsidR="00CE31A4" w:rsidRPr="009B39EC">
              <w:rPr>
                <w:rFonts w:ascii="Arial" w:hAnsi="Arial" w:cs="Arial"/>
                <w:sz w:val="20"/>
                <w:szCs w:val="20"/>
                <w:lang w:val="en-GB"/>
              </w:rPr>
              <w:t>incidents of domestic murders, with 20 victims, of which 11 women/girls, out of whom 4 were spouses</w:t>
            </w:r>
            <w:r w:rsidR="004010F7" w:rsidRPr="009B39EC">
              <w:rPr>
                <w:rFonts w:ascii="Arial" w:hAnsi="Arial" w:cs="Arial"/>
                <w:sz w:val="20"/>
                <w:szCs w:val="20"/>
                <w:lang w:val="en-GB"/>
              </w:rPr>
              <w:t>.</w:t>
            </w:r>
          </w:p>
          <w:p w14:paraId="3BBF5859" w14:textId="0DA22C16" w:rsidR="004010F7" w:rsidRPr="009B39EC" w:rsidRDefault="00850A6E" w:rsidP="004010F7">
            <w:pPr>
              <w:jc w:val="both"/>
              <w:rPr>
                <w:rFonts w:ascii="Arial" w:hAnsi="Arial" w:cs="Arial"/>
                <w:sz w:val="20"/>
                <w:szCs w:val="20"/>
                <w:lang w:val="en-GB"/>
              </w:rPr>
            </w:pPr>
            <w:r w:rsidRPr="009B39EC">
              <w:rPr>
                <w:rFonts w:ascii="Arial" w:hAnsi="Arial" w:cs="Arial"/>
                <w:b/>
                <w:bCs/>
                <w:sz w:val="20"/>
                <w:szCs w:val="20"/>
                <w:lang w:val="en-GB"/>
              </w:rPr>
              <w:t>In 20</w:t>
            </w:r>
            <w:r w:rsidR="004010F7" w:rsidRPr="009B39EC">
              <w:rPr>
                <w:rFonts w:ascii="Arial" w:hAnsi="Arial" w:cs="Arial"/>
                <w:b/>
                <w:bCs/>
                <w:sz w:val="20"/>
                <w:szCs w:val="20"/>
                <w:lang w:val="en-GB"/>
              </w:rPr>
              <w:t>19</w:t>
            </w:r>
            <w:r w:rsidR="004010F7" w:rsidRPr="009B39EC">
              <w:rPr>
                <w:rFonts w:ascii="Arial" w:hAnsi="Arial" w:cs="Arial"/>
                <w:sz w:val="20"/>
                <w:szCs w:val="20"/>
                <w:lang w:val="en-GB"/>
              </w:rPr>
              <w:t xml:space="preserve">, </w:t>
            </w:r>
            <w:r w:rsidR="00CE31A4" w:rsidRPr="009B39EC">
              <w:rPr>
                <w:rFonts w:ascii="Arial" w:hAnsi="Arial" w:cs="Arial"/>
                <w:sz w:val="20"/>
                <w:szCs w:val="20"/>
                <w:lang w:val="en-GB"/>
              </w:rPr>
              <w:t xml:space="preserve">a total of </w:t>
            </w:r>
            <w:r w:rsidR="004010F7" w:rsidRPr="009B39EC">
              <w:rPr>
                <w:rFonts w:ascii="Arial" w:hAnsi="Arial" w:cs="Arial"/>
                <w:sz w:val="20"/>
                <w:szCs w:val="20"/>
                <w:lang w:val="en-GB"/>
              </w:rPr>
              <w:t xml:space="preserve">4629 </w:t>
            </w:r>
            <w:r w:rsidR="00CE31A4" w:rsidRPr="009B39EC">
              <w:rPr>
                <w:rFonts w:ascii="Arial" w:hAnsi="Arial" w:cs="Arial"/>
                <w:sz w:val="20"/>
                <w:szCs w:val="20"/>
                <w:lang w:val="en-GB"/>
              </w:rPr>
              <w:t>reported cases of abuse and other domestic crimes</w:t>
            </w:r>
            <w:r w:rsidR="00C342F9" w:rsidRPr="009B39EC">
              <w:rPr>
                <w:rFonts w:ascii="Arial" w:hAnsi="Arial" w:cs="Arial"/>
                <w:sz w:val="20"/>
                <w:szCs w:val="20"/>
                <w:lang w:val="en-GB"/>
              </w:rPr>
              <w:t xml:space="preserve"> were reported</w:t>
            </w:r>
            <w:r w:rsidR="004010F7" w:rsidRPr="009B39EC">
              <w:rPr>
                <w:rFonts w:ascii="Arial" w:hAnsi="Arial" w:cs="Arial"/>
                <w:sz w:val="20"/>
                <w:szCs w:val="20"/>
                <w:lang w:val="en-GB"/>
              </w:rPr>
              <w:t xml:space="preserve">. </w:t>
            </w:r>
            <w:r w:rsidR="00CE31A4" w:rsidRPr="009B39EC">
              <w:rPr>
                <w:rFonts w:ascii="Arial" w:hAnsi="Arial" w:cs="Arial"/>
                <w:sz w:val="20"/>
                <w:szCs w:val="20"/>
                <w:lang w:val="en-GB"/>
              </w:rPr>
              <w:t>1793 case files were transferred to the prosecution office, of which</w:t>
            </w:r>
            <w:r w:rsidR="004010F7" w:rsidRPr="009B39EC">
              <w:rPr>
                <w:rFonts w:ascii="Arial" w:hAnsi="Arial" w:cs="Arial"/>
                <w:sz w:val="20"/>
                <w:szCs w:val="20"/>
                <w:lang w:val="en-GB"/>
              </w:rPr>
              <w:t xml:space="preserve"> 1341 </w:t>
            </w:r>
            <w:r w:rsidR="00FB758F" w:rsidRPr="009B39EC">
              <w:rPr>
                <w:rFonts w:ascii="Arial" w:hAnsi="Arial" w:cs="Arial"/>
                <w:sz w:val="20"/>
                <w:szCs w:val="20"/>
                <w:lang w:val="en-GB"/>
              </w:rPr>
              <w:t xml:space="preserve">pursuant to Article 130/a “Domestic violence”, and </w:t>
            </w:r>
            <w:r w:rsidR="004010F7" w:rsidRPr="009B39EC">
              <w:rPr>
                <w:rFonts w:ascii="Arial" w:hAnsi="Arial" w:cs="Arial"/>
                <w:sz w:val="20"/>
                <w:szCs w:val="20"/>
                <w:lang w:val="en-GB"/>
              </w:rPr>
              <w:t xml:space="preserve">535 </w:t>
            </w:r>
            <w:r w:rsidR="00CE31A4" w:rsidRPr="009B39EC">
              <w:rPr>
                <w:rFonts w:ascii="Arial" w:hAnsi="Arial" w:cs="Arial"/>
                <w:sz w:val="20"/>
                <w:szCs w:val="20"/>
                <w:lang w:val="en-GB"/>
              </w:rPr>
              <w:t>perpetrators were arrested in flagrantia</w:t>
            </w:r>
            <w:r w:rsidR="004010F7" w:rsidRPr="009B39EC">
              <w:rPr>
                <w:rFonts w:ascii="Arial" w:hAnsi="Arial" w:cs="Arial"/>
                <w:sz w:val="20"/>
                <w:szCs w:val="20"/>
                <w:lang w:val="en-GB"/>
              </w:rPr>
              <w:t xml:space="preserve">. </w:t>
            </w:r>
            <w:r w:rsidR="00CE31A4" w:rsidRPr="009B39EC">
              <w:rPr>
                <w:rFonts w:ascii="Arial" w:hAnsi="Arial" w:cs="Arial"/>
                <w:sz w:val="20"/>
                <w:szCs w:val="20"/>
                <w:lang w:val="en-GB"/>
              </w:rPr>
              <w:t>In 2836 cases of domestic violence applications were made for or Emergency/Immediate protection orders or Protection orders</w:t>
            </w:r>
            <w:r w:rsidR="004010F7" w:rsidRPr="009B39EC">
              <w:rPr>
                <w:rFonts w:ascii="Arial" w:hAnsi="Arial" w:cs="Arial"/>
                <w:sz w:val="20"/>
                <w:szCs w:val="20"/>
                <w:lang w:val="en-GB"/>
              </w:rPr>
              <w:t xml:space="preserve">.  </w:t>
            </w:r>
            <w:r w:rsidR="00CE31A4" w:rsidRPr="009B39EC">
              <w:rPr>
                <w:rFonts w:ascii="Arial" w:hAnsi="Arial" w:cs="Arial"/>
                <w:sz w:val="20"/>
                <w:szCs w:val="20"/>
                <w:lang w:val="en-GB"/>
              </w:rPr>
              <w:t xml:space="preserve">There were </w:t>
            </w:r>
            <w:r w:rsidR="004010F7" w:rsidRPr="009B39EC">
              <w:rPr>
                <w:rFonts w:ascii="Arial" w:hAnsi="Arial" w:cs="Arial"/>
                <w:sz w:val="20"/>
                <w:szCs w:val="20"/>
                <w:lang w:val="en-GB"/>
              </w:rPr>
              <w:t xml:space="preserve">14 </w:t>
            </w:r>
            <w:r w:rsidR="00CE31A4" w:rsidRPr="009B39EC">
              <w:rPr>
                <w:rFonts w:ascii="Arial" w:hAnsi="Arial" w:cs="Arial"/>
                <w:sz w:val="20"/>
                <w:szCs w:val="20"/>
                <w:lang w:val="en-GB"/>
              </w:rPr>
              <w:t xml:space="preserve">incidents of domestic murders, with </w:t>
            </w:r>
            <w:r w:rsidR="004010F7" w:rsidRPr="009B39EC">
              <w:rPr>
                <w:rFonts w:ascii="Arial" w:hAnsi="Arial" w:cs="Arial"/>
                <w:sz w:val="20"/>
                <w:szCs w:val="20"/>
                <w:lang w:val="en-GB"/>
              </w:rPr>
              <w:t xml:space="preserve">17 </w:t>
            </w:r>
            <w:r w:rsidR="00CE31A4" w:rsidRPr="009B39EC">
              <w:rPr>
                <w:rFonts w:ascii="Arial" w:hAnsi="Arial" w:cs="Arial"/>
                <w:sz w:val="20"/>
                <w:szCs w:val="20"/>
                <w:lang w:val="en-GB"/>
              </w:rPr>
              <w:t xml:space="preserve">victims, of which </w:t>
            </w:r>
            <w:r w:rsidR="004010F7" w:rsidRPr="009B39EC">
              <w:rPr>
                <w:rFonts w:ascii="Arial" w:hAnsi="Arial" w:cs="Arial"/>
                <w:sz w:val="20"/>
                <w:szCs w:val="20"/>
                <w:lang w:val="en-GB"/>
              </w:rPr>
              <w:t>12</w:t>
            </w:r>
            <w:r w:rsidR="00694FCA" w:rsidRPr="009B39EC">
              <w:rPr>
                <w:rFonts w:ascii="Arial" w:hAnsi="Arial" w:cs="Arial"/>
                <w:sz w:val="20"/>
                <w:szCs w:val="20"/>
                <w:lang w:val="en-GB"/>
              </w:rPr>
              <w:t xml:space="preserve"> </w:t>
            </w:r>
            <w:r w:rsidR="00CE31A4" w:rsidRPr="009B39EC">
              <w:rPr>
                <w:rFonts w:ascii="Arial" w:hAnsi="Arial" w:cs="Arial"/>
                <w:sz w:val="20"/>
                <w:szCs w:val="20"/>
                <w:lang w:val="en-GB"/>
              </w:rPr>
              <w:t xml:space="preserve">women/girls, out of whom </w:t>
            </w:r>
            <w:r w:rsidR="004010F7" w:rsidRPr="009B39EC">
              <w:rPr>
                <w:rFonts w:ascii="Arial" w:hAnsi="Arial" w:cs="Arial"/>
                <w:sz w:val="20"/>
                <w:szCs w:val="20"/>
                <w:lang w:val="en-GB"/>
              </w:rPr>
              <w:t xml:space="preserve">8 </w:t>
            </w:r>
            <w:r w:rsidR="00CE31A4" w:rsidRPr="009B39EC">
              <w:rPr>
                <w:rFonts w:ascii="Arial" w:hAnsi="Arial" w:cs="Arial"/>
                <w:sz w:val="20"/>
                <w:szCs w:val="20"/>
                <w:lang w:val="en-GB"/>
              </w:rPr>
              <w:t>were spouses</w:t>
            </w:r>
            <w:r w:rsidR="004010F7" w:rsidRPr="009B39EC">
              <w:rPr>
                <w:rFonts w:ascii="Arial" w:hAnsi="Arial" w:cs="Arial"/>
                <w:sz w:val="20"/>
                <w:szCs w:val="20"/>
                <w:lang w:val="en-GB"/>
              </w:rPr>
              <w:t>.</w:t>
            </w:r>
          </w:p>
          <w:p w14:paraId="08BD88DF" w14:textId="7901936E" w:rsidR="00223544" w:rsidRPr="009B39EC" w:rsidRDefault="00850A6E" w:rsidP="00223544">
            <w:pPr>
              <w:jc w:val="both"/>
              <w:rPr>
                <w:rFonts w:ascii="Arial" w:hAnsi="Arial" w:cs="Arial"/>
                <w:sz w:val="20"/>
                <w:szCs w:val="20"/>
                <w:lang w:val="en-GB"/>
              </w:rPr>
            </w:pPr>
            <w:r w:rsidRPr="009B39EC">
              <w:rPr>
                <w:rFonts w:ascii="Arial" w:hAnsi="Arial" w:cs="Arial"/>
                <w:b/>
                <w:bCs/>
                <w:sz w:val="20"/>
                <w:szCs w:val="20"/>
                <w:lang w:val="en-GB"/>
              </w:rPr>
              <w:t>In 20</w:t>
            </w:r>
            <w:r w:rsidR="00223544" w:rsidRPr="009B39EC">
              <w:rPr>
                <w:rFonts w:ascii="Arial" w:hAnsi="Arial" w:cs="Arial"/>
                <w:b/>
                <w:bCs/>
                <w:sz w:val="20"/>
                <w:szCs w:val="20"/>
                <w:lang w:val="en-GB"/>
              </w:rPr>
              <w:t>20</w:t>
            </w:r>
            <w:r w:rsidR="00223544" w:rsidRPr="009B39EC">
              <w:rPr>
                <w:rFonts w:ascii="Arial" w:hAnsi="Arial" w:cs="Arial"/>
                <w:sz w:val="20"/>
                <w:szCs w:val="20"/>
                <w:lang w:val="en-GB"/>
              </w:rPr>
              <w:t xml:space="preserve">, </w:t>
            </w:r>
            <w:r w:rsidR="00CE31A4" w:rsidRPr="009B39EC">
              <w:rPr>
                <w:rFonts w:ascii="Arial" w:hAnsi="Arial" w:cs="Arial"/>
                <w:sz w:val="20"/>
                <w:szCs w:val="20"/>
                <w:lang w:val="en-GB"/>
              </w:rPr>
              <w:t xml:space="preserve">a total of </w:t>
            </w:r>
            <w:r w:rsidR="00223544" w:rsidRPr="009B39EC">
              <w:rPr>
                <w:rFonts w:ascii="Arial" w:hAnsi="Arial" w:cs="Arial"/>
                <w:sz w:val="20"/>
                <w:szCs w:val="20"/>
                <w:lang w:val="en-GB"/>
              </w:rPr>
              <w:t xml:space="preserve">4701 </w:t>
            </w:r>
            <w:r w:rsidR="00CE31A4" w:rsidRPr="009B39EC">
              <w:rPr>
                <w:rFonts w:ascii="Arial" w:hAnsi="Arial" w:cs="Arial"/>
                <w:sz w:val="20"/>
                <w:szCs w:val="20"/>
                <w:lang w:val="en-GB"/>
              </w:rPr>
              <w:t>reported cases of abuse and other domestic crimes</w:t>
            </w:r>
            <w:r w:rsidR="00C342F9" w:rsidRPr="009B39EC">
              <w:rPr>
                <w:rFonts w:ascii="Arial" w:hAnsi="Arial" w:cs="Arial"/>
                <w:sz w:val="20"/>
                <w:szCs w:val="20"/>
                <w:lang w:val="en-GB"/>
              </w:rPr>
              <w:t xml:space="preserve"> were reported</w:t>
            </w:r>
            <w:r w:rsidR="00223544" w:rsidRPr="009B39EC">
              <w:rPr>
                <w:rFonts w:ascii="Arial" w:hAnsi="Arial" w:cs="Arial"/>
                <w:sz w:val="20"/>
                <w:szCs w:val="20"/>
                <w:lang w:val="en-GB"/>
              </w:rPr>
              <w:t xml:space="preserve">. 1886 </w:t>
            </w:r>
            <w:r w:rsidR="00FB758F" w:rsidRPr="009B39EC">
              <w:rPr>
                <w:rFonts w:ascii="Arial" w:hAnsi="Arial" w:cs="Arial"/>
                <w:sz w:val="20"/>
                <w:szCs w:val="20"/>
                <w:lang w:val="en-GB"/>
              </w:rPr>
              <w:t xml:space="preserve">case files were transferred to the prosecution office, of which </w:t>
            </w:r>
            <w:r w:rsidR="00223544" w:rsidRPr="009B39EC">
              <w:rPr>
                <w:rFonts w:ascii="Arial" w:hAnsi="Arial" w:cs="Arial"/>
                <w:sz w:val="20"/>
                <w:szCs w:val="20"/>
                <w:lang w:val="en-GB"/>
              </w:rPr>
              <w:t xml:space="preserve">1505 </w:t>
            </w:r>
            <w:r w:rsidR="00FB758F" w:rsidRPr="009B39EC">
              <w:rPr>
                <w:rFonts w:ascii="Arial" w:hAnsi="Arial" w:cs="Arial"/>
                <w:sz w:val="20"/>
                <w:szCs w:val="20"/>
                <w:lang w:val="en-GB"/>
              </w:rPr>
              <w:t xml:space="preserve">pursuant to Article 130/a “Domestic violence”, and </w:t>
            </w:r>
            <w:r w:rsidR="00223544" w:rsidRPr="009B39EC">
              <w:rPr>
                <w:rFonts w:ascii="Arial" w:hAnsi="Arial" w:cs="Arial"/>
                <w:sz w:val="20"/>
                <w:szCs w:val="20"/>
                <w:lang w:val="en-GB"/>
              </w:rPr>
              <w:t xml:space="preserve">615 </w:t>
            </w:r>
            <w:r w:rsidR="00FB758F" w:rsidRPr="009B39EC">
              <w:rPr>
                <w:rFonts w:ascii="Arial" w:hAnsi="Arial" w:cs="Arial"/>
                <w:sz w:val="20"/>
                <w:szCs w:val="20"/>
                <w:lang w:val="en-GB"/>
              </w:rPr>
              <w:t>perpetrators were arrested in flagrantia</w:t>
            </w:r>
            <w:r w:rsidR="00223544" w:rsidRPr="009B39EC">
              <w:rPr>
                <w:rFonts w:ascii="Arial" w:hAnsi="Arial" w:cs="Arial"/>
                <w:sz w:val="20"/>
                <w:szCs w:val="20"/>
                <w:lang w:val="en-GB"/>
              </w:rPr>
              <w:t xml:space="preserve">. 2816 </w:t>
            </w:r>
            <w:r w:rsidR="00FB758F" w:rsidRPr="009B39EC">
              <w:rPr>
                <w:rFonts w:ascii="Arial" w:hAnsi="Arial" w:cs="Arial"/>
                <w:sz w:val="20"/>
                <w:szCs w:val="20"/>
                <w:lang w:val="en-GB"/>
              </w:rPr>
              <w:t>cases of domestic violence applications were made for or Emergency/Immediate protection orders or Protection orders</w:t>
            </w:r>
            <w:r w:rsidR="00223544" w:rsidRPr="009B39EC">
              <w:rPr>
                <w:rFonts w:ascii="Arial" w:hAnsi="Arial" w:cs="Arial"/>
                <w:sz w:val="20"/>
                <w:szCs w:val="20"/>
                <w:lang w:val="en-GB"/>
              </w:rPr>
              <w:t xml:space="preserve">. </w:t>
            </w:r>
            <w:r w:rsidR="00FB758F" w:rsidRPr="009B39EC">
              <w:rPr>
                <w:rFonts w:ascii="Arial" w:hAnsi="Arial" w:cs="Arial"/>
                <w:sz w:val="20"/>
                <w:szCs w:val="20"/>
                <w:lang w:val="en-GB"/>
              </w:rPr>
              <w:t>There were</w:t>
            </w:r>
            <w:r w:rsidR="00223544" w:rsidRPr="009B39EC">
              <w:rPr>
                <w:rFonts w:ascii="Arial" w:hAnsi="Arial" w:cs="Arial"/>
                <w:sz w:val="20"/>
                <w:szCs w:val="20"/>
                <w:lang w:val="en-GB"/>
              </w:rPr>
              <w:t xml:space="preserve"> 6 </w:t>
            </w:r>
            <w:r w:rsidR="00FB758F" w:rsidRPr="009B39EC">
              <w:rPr>
                <w:rFonts w:ascii="Arial" w:hAnsi="Arial" w:cs="Arial"/>
                <w:sz w:val="20"/>
                <w:szCs w:val="20"/>
                <w:lang w:val="en-GB"/>
              </w:rPr>
              <w:t>incidents of domestic murders</w:t>
            </w:r>
            <w:r w:rsidR="00223544" w:rsidRPr="009B39EC">
              <w:rPr>
                <w:rFonts w:ascii="Arial" w:hAnsi="Arial" w:cs="Arial"/>
                <w:sz w:val="20"/>
                <w:szCs w:val="20"/>
                <w:lang w:val="en-GB"/>
              </w:rPr>
              <w:t xml:space="preserve"> </w:t>
            </w:r>
            <w:r w:rsidR="00FB758F" w:rsidRPr="009B39EC">
              <w:rPr>
                <w:rFonts w:ascii="Arial" w:hAnsi="Arial" w:cs="Arial"/>
                <w:sz w:val="20"/>
                <w:szCs w:val="20"/>
                <w:lang w:val="en-GB"/>
              </w:rPr>
              <w:t xml:space="preserve">with </w:t>
            </w:r>
            <w:r w:rsidR="00223544" w:rsidRPr="009B39EC">
              <w:rPr>
                <w:rFonts w:ascii="Arial" w:hAnsi="Arial" w:cs="Arial"/>
                <w:sz w:val="20"/>
                <w:szCs w:val="20"/>
                <w:lang w:val="en-GB"/>
              </w:rPr>
              <w:t>7 vi</w:t>
            </w:r>
            <w:r w:rsidR="00FB758F" w:rsidRPr="009B39EC">
              <w:rPr>
                <w:rFonts w:ascii="Arial" w:hAnsi="Arial" w:cs="Arial"/>
                <w:sz w:val="20"/>
                <w:szCs w:val="20"/>
                <w:lang w:val="en-GB"/>
              </w:rPr>
              <w:t>ctims</w:t>
            </w:r>
            <w:r w:rsidR="00223544" w:rsidRPr="009B39EC">
              <w:rPr>
                <w:rFonts w:ascii="Arial" w:hAnsi="Arial" w:cs="Arial"/>
                <w:sz w:val="20"/>
                <w:szCs w:val="20"/>
                <w:lang w:val="en-GB"/>
              </w:rPr>
              <w:t xml:space="preserve">, </w:t>
            </w:r>
            <w:r w:rsidR="00FB758F" w:rsidRPr="009B39EC">
              <w:rPr>
                <w:rFonts w:ascii="Arial" w:hAnsi="Arial" w:cs="Arial"/>
                <w:sz w:val="20"/>
                <w:szCs w:val="20"/>
                <w:lang w:val="en-GB"/>
              </w:rPr>
              <w:t xml:space="preserve">of which </w:t>
            </w:r>
            <w:r w:rsidR="00223544" w:rsidRPr="009B39EC">
              <w:rPr>
                <w:rFonts w:ascii="Arial" w:hAnsi="Arial" w:cs="Arial"/>
                <w:sz w:val="20"/>
                <w:szCs w:val="20"/>
                <w:lang w:val="en-GB"/>
              </w:rPr>
              <w:t>6</w:t>
            </w:r>
            <w:r w:rsidR="00694FCA" w:rsidRPr="009B39EC">
              <w:rPr>
                <w:rFonts w:ascii="Arial" w:hAnsi="Arial" w:cs="Arial"/>
                <w:sz w:val="20"/>
                <w:szCs w:val="20"/>
                <w:lang w:val="en-GB"/>
              </w:rPr>
              <w:t xml:space="preserve"> </w:t>
            </w:r>
            <w:r w:rsidR="00FB758F" w:rsidRPr="009B39EC">
              <w:rPr>
                <w:rFonts w:ascii="Arial" w:hAnsi="Arial" w:cs="Arial"/>
                <w:sz w:val="20"/>
                <w:szCs w:val="20"/>
                <w:lang w:val="en-GB"/>
              </w:rPr>
              <w:t xml:space="preserve">women/girls, of which </w:t>
            </w:r>
            <w:r w:rsidR="00223544" w:rsidRPr="009B39EC">
              <w:rPr>
                <w:rFonts w:ascii="Arial" w:hAnsi="Arial" w:cs="Arial"/>
                <w:sz w:val="20"/>
                <w:szCs w:val="20"/>
                <w:lang w:val="en-GB"/>
              </w:rPr>
              <w:t xml:space="preserve">3 </w:t>
            </w:r>
            <w:r w:rsidR="00FB758F" w:rsidRPr="009B39EC">
              <w:rPr>
                <w:rFonts w:ascii="Arial" w:hAnsi="Arial" w:cs="Arial"/>
                <w:sz w:val="20"/>
                <w:szCs w:val="20"/>
                <w:lang w:val="en-GB"/>
              </w:rPr>
              <w:t>were spouses</w:t>
            </w:r>
            <w:r w:rsidR="00223544" w:rsidRPr="009B39EC">
              <w:rPr>
                <w:rFonts w:ascii="Arial" w:hAnsi="Arial" w:cs="Arial"/>
                <w:sz w:val="20"/>
                <w:szCs w:val="20"/>
                <w:lang w:val="en-GB"/>
              </w:rPr>
              <w:t>.</w:t>
            </w:r>
          </w:p>
          <w:p w14:paraId="138655FE" w14:textId="1780E71F" w:rsidR="00223544" w:rsidRPr="009B39EC" w:rsidRDefault="00850A6E" w:rsidP="00223544">
            <w:pPr>
              <w:jc w:val="both"/>
              <w:rPr>
                <w:rFonts w:ascii="Arial" w:hAnsi="Arial" w:cs="Arial"/>
                <w:sz w:val="20"/>
                <w:szCs w:val="20"/>
                <w:lang w:val="en-GB"/>
              </w:rPr>
            </w:pPr>
            <w:r w:rsidRPr="009B39EC">
              <w:rPr>
                <w:rFonts w:ascii="Arial" w:hAnsi="Arial" w:cs="Arial"/>
                <w:b/>
                <w:bCs/>
                <w:sz w:val="20"/>
                <w:szCs w:val="20"/>
                <w:lang w:val="en-GB"/>
              </w:rPr>
              <w:t>In 20</w:t>
            </w:r>
            <w:r w:rsidR="00223544" w:rsidRPr="009B39EC">
              <w:rPr>
                <w:rFonts w:ascii="Arial" w:hAnsi="Arial" w:cs="Arial"/>
                <w:b/>
                <w:bCs/>
                <w:sz w:val="20"/>
                <w:szCs w:val="20"/>
                <w:lang w:val="en-GB"/>
              </w:rPr>
              <w:t>21 (</w:t>
            </w:r>
            <w:r w:rsidR="00FB758F" w:rsidRPr="009B39EC">
              <w:rPr>
                <w:rFonts w:ascii="Arial" w:hAnsi="Arial" w:cs="Arial"/>
                <w:b/>
                <w:bCs/>
                <w:sz w:val="20"/>
                <w:szCs w:val="20"/>
                <w:lang w:val="en-GB"/>
              </w:rPr>
              <w:t>January-March</w:t>
            </w:r>
            <w:r w:rsidR="00223544" w:rsidRPr="009B39EC">
              <w:rPr>
                <w:rFonts w:ascii="Arial" w:hAnsi="Arial" w:cs="Arial"/>
                <w:b/>
                <w:bCs/>
                <w:sz w:val="20"/>
                <w:szCs w:val="20"/>
                <w:lang w:val="en-GB"/>
              </w:rPr>
              <w:t>)</w:t>
            </w:r>
            <w:r w:rsidR="00223544" w:rsidRPr="009B39EC">
              <w:rPr>
                <w:rFonts w:ascii="Arial" w:hAnsi="Arial" w:cs="Arial"/>
                <w:sz w:val="20"/>
                <w:szCs w:val="20"/>
                <w:lang w:val="en-GB"/>
              </w:rPr>
              <w:t xml:space="preserve">, </w:t>
            </w:r>
            <w:r w:rsidR="00FB758F" w:rsidRPr="009B39EC">
              <w:rPr>
                <w:rFonts w:ascii="Arial" w:hAnsi="Arial" w:cs="Arial"/>
                <w:sz w:val="20"/>
                <w:szCs w:val="20"/>
                <w:lang w:val="en-GB"/>
              </w:rPr>
              <w:t xml:space="preserve">a total of </w:t>
            </w:r>
            <w:r w:rsidR="00223544" w:rsidRPr="009B39EC">
              <w:rPr>
                <w:rFonts w:ascii="Arial" w:hAnsi="Arial" w:cs="Arial"/>
                <w:sz w:val="20"/>
                <w:szCs w:val="20"/>
                <w:lang w:val="en-GB"/>
              </w:rPr>
              <w:t xml:space="preserve">1174 </w:t>
            </w:r>
            <w:r w:rsidR="00FB758F" w:rsidRPr="009B39EC">
              <w:rPr>
                <w:rFonts w:ascii="Arial" w:hAnsi="Arial" w:cs="Arial"/>
                <w:sz w:val="20"/>
                <w:szCs w:val="20"/>
                <w:lang w:val="en-GB"/>
              </w:rPr>
              <w:t>reported cases of abuse and other domestic crimes</w:t>
            </w:r>
            <w:r w:rsidR="00C342F9" w:rsidRPr="009B39EC">
              <w:rPr>
                <w:rFonts w:ascii="Arial" w:hAnsi="Arial" w:cs="Arial"/>
                <w:sz w:val="20"/>
                <w:szCs w:val="20"/>
                <w:lang w:val="en-GB"/>
              </w:rPr>
              <w:t xml:space="preserve"> were reported</w:t>
            </w:r>
            <w:r w:rsidR="00223544" w:rsidRPr="009B39EC">
              <w:rPr>
                <w:rFonts w:ascii="Arial" w:hAnsi="Arial" w:cs="Arial"/>
                <w:sz w:val="20"/>
                <w:szCs w:val="20"/>
                <w:lang w:val="en-GB"/>
              </w:rPr>
              <w:t xml:space="preserve">. 447 </w:t>
            </w:r>
            <w:r w:rsidR="00FB758F" w:rsidRPr="009B39EC">
              <w:rPr>
                <w:rFonts w:ascii="Arial" w:hAnsi="Arial" w:cs="Arial"/>
                <w:sz w:val="20"/>
                <w:szCs w:val="20"/>
                <w:lang w:val="en-GB"/>
              </w:rPr>
              <w:t xml:space="preserve">case files were transferred to the prosecution office, of which </w:t>
            </w:r>
            <w:r w:rsidR="00223544" w:rsidRPr="009B39EC">
              <w:rPr>
                <w:rFonts w:ascii="Arial" w:hAnsi="Arial" w:cs="Arial"/>
                <w:sz w:val="20"/>
                <w:szCs w:val="20"/>
                <w:lang w:val="en-GB"/>
              </w:rPr>
              <w:t xml:space="preserve">365 </w:t>
            </w:r>
            <w:r w:rsidR="00FB758F" w:rsidRPr="009B39EC">
              <w:rPr>
                <w:rFonts w:ascii="Arial" w:hAnsi="Arial" w:cs="Arial"/>
                <w:sz w:val="20"/>
                <w:szCs w:val="20"/>
                <w:lang w:val="en-GB"/>
              </w:rPr>
              <w:t xml:space="preserve">pursuant to Article 130/a “Domestic violence”, and </w:t>
            </w:r>
            <w:r w:rsidR="00223544" w:rsidRPr="009B39EC">
              <w:rPr>
                <w:rFonts w:ascii="Arial" w:hAnsi="Arial" w:cs="Arial"/>
                <w:sz w:val="20"/>
                <w:szCs w:val="20"/>
                <w:lang w:val="en-GB"/>
              </w:rPr>
              <w:t xml:space="preserve">107 </w:t>
            </w:r>
            <w:r w:rsidR="00FB758F" w:rsidRPr="009B39EC">
              <w:rPr>
                <w:rFonts w:ascii="Arial" w:hAnsi="Arial" w:cs="Arial"/>
                <w:sz w:val="20"/>
                <w:szCs w:val="20"/>
                <w:lang w:val="en-GB"/>
              </w:rPr>
              <w:t>perpetrators were arrested in flagrantia</w:t>
            </w:r>
            <w:r w:rsidR="00223544" w:rsidRPr="009B39EC">
              <w:rPr>
                <w:rFonts w:ascii="Arial" w:hAnsi="Arial" w:cs="Arial"/>
                <w:sz w:val="20"/>
                <w:szCs w:val="20"/>
                <w:lang w:val="en-GB"/>
              </w:rPr>
              <w:t xml:space="preserve">. 727 </w:t>
            </w:r>
            <w:r w:rsidR="002328A3" w:rsidRPr="009B39EC">
              <w:rPr>
                <w:rFonts w:ascii="Arial" w:hAnsi="Arial" w:cs="Arial"/>
                <w:sz w:val="20"/>
                <w:szCs w:val="20"/>
                <w:lang w:val="en-GB"/>
              </w:rPr>
              <w:t xml:space="preserve">cases of domestic violence applications were made for or Emergency/Immediate protection orders or Protection orders. There were </w:t>
            </w:r>
            <w:r w:rsidR="00223544" w:rsidRPr="009B39EC">
              <w:rPr>
                <w:rFonts w:ascii="Arial" w:hAnsi="Arial" w:cs="Arial"/>
                <w:sz w:val="20"/>
                <w:szCs w:val="20"/>
                <w:lang w:val="en-GB"/>
              </w:rPr>
              <w:t xml:space="preserve">3 </w:t>
            </w:r>
            <w:r w:rsidR="002328A3" w:rsidRPr="009B39EC">
              <w:rPr>
                <w:rFonts w:ascii="Arial" w:hAnsi="Arial" w:cs="Arial"/>
                <w:sz w:val="20"/>
                <w:szCs w:val="20"/>
                <w:lang w:val="en-GB"/>
              </w:rPr>
              <w:t xml:space="preserve">domestic murder incidents </w:t>
            </w:r>
            <w:r w:rsidR="00264A56" w:rsidRPr="009B39EC">
              <w:rPr>
                <w:rFonts w:ascii="Arial" w:hAnsi="Arial" w:cs="Arial"/>
                <w:sz w:val="20"/>
                <w:szCs w:val="20"/>
                <w:lang w:val="en-GB"/>
              </w:rPr>
              <w:t>with 3</w:t>
            </w:r>
            <w:r w:rsidR="00223544" w:rsidRPr="009B39EC">
              <w:rPr>
                <w:rFonts w:ascii="Arial" w:hAnsi="Arial" w:cs="Arial"/>
                <w:sz w:val="20"/>
                <w:szCs w:val="20"/>
                <w:lang w:val="en-GB"/>
              </w:rPr>
              <w:t xml:space="preserve"> vi</w:t>
            </w:r>
            <w:r w:rsidR="002328A3" w:rsidRPr="009B39EC">
              <w:rPr>
                <w:rFonts w:ascii="Arial" w:hAnsi="Arial" w:cs="Arial"/>
                <w:sz w:val="20"/>
                <w:szCs w:val="20"/>
                <w:lang w:val="en-GB"/>
              </w:rPr>
              <w:t xml:space="preserve">ctims, of which </w:t>
            </w:r>
            <w:r w:rsidR="00223544" w:rsidRPr="009B39EC">
              <w:rPr>
                <w:rFonts w:ascii="Arial" w:hAnsi="Arial" w:cs="Arial"/>
                <w:sz w:val="20"/>
                <w:szCs w:val="20"/>
                <w:lang w:val="en-GB"/>
              </w:rPr>
              <w:t>1</w:t>
            </w:r>
            <w:r w:rsidR="00694FCA" w:rsidRPr="009B39EC">
              <w:rPr>
                <w:rFonts w:ascii="Arial" w:hAnsi="Arial" w:cs="Arial"/>
                <w:sz w:val="20"/>
                <w:szCs w:val="20"/>
                <w:lang w:val="en-GB"/>
              </w:rPr>
              <w:t xml:space="preserve"> </w:t>
            </w:r>
            <w:r w:rsidR="002328A3" w:rsidRPr="009B39EC">
              <w:rPr>
                <w:rFonts w:ascii="Arial" w:hAnsi="Arial" w:cs="Arial"/>
                <w:sz w:val="20"/>
                <w:szCs w:val="20"/>
                <w:lang w:val="en-GB"/>
              </w:rPr>
              <w:t xml:space="preserve">woman/girl, of which </w:t>
            </w:r>
            <w:r w:rsidR="00223544" w:rsidRPr="009B39EC">
              <w:rPr>
                <w:rFonts w:ascii="Arial" w:hAnsi="Arial" w:cs="Arial"/>
                <w:sz w:val="20"/>
                <w:szCs w:val="20"/>
                <w:lang w:val="en-GB"/>
              </w:rPr>
              <w:t xml:space="preserve">1 </w:t>
            </w:r>
            <w:r w:rsidR="00C342F9" w:rsidRPr="009B39EC">
              <w:rPr>
                <w:rFonts w:ascii="Arial" w:hAnsi="Arial" w:cs="Arial"/>
                <w:sz w:val="20"/>
                <w:szCs w:val="20"/>
                <w:lang w:val="en-GB"/>
              </w:rPr>
              <w:t xml:space="preserve">was a </w:t>
            </w:r>
            <w:r w:rsidR="002328A3" w:rsidRPr="009B39EC">
              <w:rPr>
                <w:rFonts w:ascii="Arial" w:hAnsi="Arial" w:cs="Arial"/>
                <w:sz w:val="20"/>
                <w:szCs w:val="20"/>
                <w:lang w:val="en-GB"/>
              </w:rPr>
              <w:t>spouse</w:t>
            </w:r>
            <w:r w:rsidR="00223544" w:rsidRPr="009B39EC">
              <w:rPr>
                <w:rFonts w:ascii="Arial" w:hAnsi="Arial" w:cs="Arial"/>
                <w:sz w:val="20"/>
                <w:szCs w:val="20"/>
                <w:lang w:val="en-GB"/>
              </w:rPr>
              <w:t>.</w:t>
            </w:r>
          </w:p>
          <w:p w14:paraId="157D818A" w14:textId="77777777" w:rsidR="00FB758F" w:rsidRPr="009B39EC" w:rsidRDefault="00FB758F" w:rsidP="00BF5668">
            <w:pPr>
              <w:jc w:val="both"/>
              <w:rPr>
                <w:rFonts w:ascii="Arial" w:hAnsi="Arial" w:cs="Arial"/>
                <w:sz w:val="20"/>
                <w:szCs w:val="20"/>
                <w:lang w:val="en-GB"/>
              </w:rPr>
            </w:pPr>
          </w:p>
          <w:p w14:paraId="7FF76FFA" w14:textId="77777777" w:rsidR="00BF5668" w:rsidRDefault="001F1D51" w:rsidP="00BF5668">
            <w:pPr>
              <w:jc w:val="both"/>
              <w:rPr>
                <w:rFonts w:ascii="Arial" w:hAnsi="Arial" w:cs="Arial"/>
                <w:sz w:val="20"/>
                <w:szCs w:val="20"/>
                <w:lang w:val="en-GB"/>
              </w:rPr>
            </w:pPr>
            <w:r w:rsidRPr="009B39EC">
              <w:rPr>
                <w:rFonts w:ascii="Arial" w:hAnsi="Arial" w:cs="Arial"/>
                <w:sz w:val="20"/>
                <w:szCs w:val="20"/>
                <w:lang w:val="en-GB"/>
              </w:rPr>
              <w:t xml:space="preserve">The Office of the Ombudsperson has sent out specific recommendations </w:t>
            </w:r>
            <w:r w:rsidR="00AF1F3B" w:rsidRPr="009B39EC">
              <w:rPr>
                <w:rFonts w:ascii="Arial" w:hAnsi="Arial" w:cs="Arial"/>
                <w:sz w:val="20"/>
                <w:szCs w:val="20"/>
                <w:lang w:val="en-GB"/>
              </w:rPr>
              <w:t>“</w:t>
            </w:r>
            <w:r w:rsidRPr="009B39EC">
              <w:rPr>
                <w:rFonts w:ascii="Arial" w:hAnsi="Arial" w:cs="Arial"/>
                <w:sz w:val="20"/>
                <w:szCs w:val="20"/>
                <w:lang w:val="en-GB"/>
              </w:rPr>
              <w:t xml:space="preserve">On taking the necessary measures for the identification, management, referral and prosecution of domestic violence cases” to the relevant institutions. In response to the recommendation </w:t>
            </w:r>
            <w:r w:rsidR="00D66A68" w:rsidRPr="009B39EC">
              <w:rPr>
                <w:rFonts w:ascii="Arial" w:hAnsi="Arial" w:cs="Arial"/>
                <w:sz w:val="20"/>
                <w:szCs w:val="20"/>
                <w:lang w:val="en-GB"/>
              </w:rPr>
              <w:t>made</w:t>
            </w:r>
            <w:r w:rsidRPr="009B39EC">
              <w:rPr>
                <w:rFonts w:ascii="Arial" w:hAnsi="Arial" w:cs="Arial"/>
                <w:sz w:val="20"/>
                <w:szCs w:val="20"/>
                <w:lang w:val="en-GB"/>
              </w:rPr>
              <w:t xml:space="preserve">, we have been informed that the responsible institutions addressed are taking the Ombudsperson’s recommendations </w:t>
            </w:r>
            <w:r w:rsidR="00340EFB" w:rsidRPr="009B39EC">
              <w:rPr>
                <w:rFonts w:ascii="Arial" w:hAnsi="Arial" w:cs="Arial"/>
                <w:sz w:val="20"/>
                <w:szCs w:val="20"/>
                <w:lang w:val="en-GB"/>
              </w:rPr>
              <w:t xml:space="preserve">into account </w:t>
            </w:r>
            <w:r w:rsidRPr="009B39EC">
              <w:rPr>
                <w:rFonts w:ascii="Arial" w:hAnsi="Arial" w:cs="Arial"/>
                <w:sz w:val="20"/>
                <w:szCs w:val="20"/>
                <w:lang w:val="en-GB"/>
              </w:rPr>
              <w:t>and are implementing them</w:t>
            </w:r>
            <w:r w:rsidR="00AF1F3B" w:rsidRPr="009B39EC">
              <w:rPr>
                <w:rFonts w:ascii="Arial" w:hAnsi="Arial" w:cs="Arial"/>
                <w:sz w:val="20"/>
                <w:szCs w:val="20"/>
                <w:lang w:val="en-GB"/>
              </w:rPr>
              <w:t xml:space="preserve">. </w:t>
            </w:r>
            <w:r w:rsidR="00D66A68" w:rsidRPr="009B39EC">
              <w:rPr>
                <w:rFonts w:ascii="Arial" w:hAnsi="Arial" w:cs="Arial"/>
                <w:sz w:val="20"/>
                <w:szCs w:val="20"/>
                <w:lang w:val="en-GB"/>
              </w:rPr>
              <w:t>W</w:t>
            </w:r>
            <w:r w:rsidRPr="009B39EC">
              <w:rPr>
                <w:rFonts w:ascii="Arial" w:hAnsi="Arial" w:cs="Arial"/>
                <w:sz w:val="20"/>
                <w:szCs w:val="20"/>
                <w:lang w:val="en-GB"/>
              </w:rPr>
              <w:t xml:space="preserve">here </w:t>
            </w:r>
            <w:r w:rsidR="00D66A68" w:rsidRPr="009B39EC">
              <w:rPr>
                <w:rFonts w:ascii="Arial" w:hAnsi="Arial" w:cs="Arial"/>
                <w:sz w:val="20"/>
                <w:szCs w:val="20"/>
                <w:lang w:val="en-GB"/>
              </w:rPr>
              <w:t xml:space="preserve">instances of </w:t>
            </w:r>
            <w:r w:rsidRPr="009B39EC">
              <w:rPr>
                <w:rFonts w:ascii="Arial" w:hAnsi="Arial" w:cs="Arial"/>
                <w:sz w:val="20"/>
                <w:szCs w:val="20"/>
                <w:lang w:val="en-GB"/>
              </w:rPr>
              <w:t xml:space="preserve">violence </w:t>
            </w:r>
            <w:r w:rsidR="00846A69" w:rsidRPr="009B39EC">
              <w:rPr>
                <w:rFonts w:ascii="Arial" w:hAnsi="Arial" w:cs="Arial"/>
                <w:sz w:val="20"/>
                <w:szCs w:val="20"/>
                <w:lang w:val="en-GB"/>
              </w:rPr>
              <w:t>are</w:t>
            </w:r>
            <w:r w:rsidRPr="009B39EC">
              <w:rPr>
                <w:rFonts w:ascii="Arial" w:hAnsi="Arial" w:cs="Arial"/>
                <w:sz w:val="20"/>
                <w:szCs w:val="20"/>
                <w:lang w:val="en-GB"/>
              </w:rPr>
              <w:t xml:space="preserve"> a repeated occurrence</w:t>
            </w:r>
            <w:r w:rsidR="00340EFB" w:rsidRPr="009B39EC">
              <w:rPr>
                <w:rFonts w:ascii="Arial" w:hAnsi="Arial" w:cs="Arial"/>
                <w:sz w:val="20"/>
                <w:szCs w:val="20"/>
                <w:lang w:val="en-GB"/>
              </w:rPr>
              <w:t xml:space="preserve">, the abuse has been repeatedly reported and responsible institutions have </w:t>
            </w:r>
            <w:r w:rsidR="00D66A68" w:rsidRPr="009B39EC">
              <w:rPr>
                <w:rFonts w:ascii="Arial" w:hAnsi="Arial" w:cs="Arial"/>
                <w:sz w:val="20"/>
                <w:szCs w:val="20"/>
                <w:lang w:val="en-GB"/>
              </w:rPr>
              <w:t xml:space="preserve">failed to undertake </w:t>
            </w:r>
            <w:r w:rsidR="00340EFB" w:rsidRPr="009B39EC">
              <w:rPr>
                <w:rFonts w:ascii="Arial" w:hAnsi="Arial" w:cs="Arial"/>
                <w:sz w:val="20"/>
                <w:szCs w:val="20"/>
                <w:lang w:val="en-GB"/>
              </w:rPr>
              <w:t>the necessary actions within the timeframe provided in the law</w:t>
            </w:r>
            <w:r w:rsidR="00AF1F3B" w:rsidRPr="009B39EC">
              <w:rPr>
                <w:rFonts w:ascii="Arial" w:hAnsi="Arial" w:cs="Arial"/>
                <w:sz w:val="20"/>
                <w:szCs w:val="20"/>
                <w:lang w:val="en-GB"/>
              </w:rPr>
              <w:t xml:space="preserve">, </w:t>
            </w:r>
            <w:r w:rsidR="00340EFB" w:rsidRPr="009B39EC">
              <w:rPr>
                <w:rFonts w:ascii="Arial" w:hAnsi="Arial" w:cs="Arial"/>
                <w:sz w:val="20"/>
                <w:szCs w:val="20"/>
                <w:lang w:val="en-GB"/>
              </w:rPr>
              <w:t xml:space="preserve">the Office of the Ombudsperson has recommended that the Prosecution Office immediately </w:t>
            </w:r>
            <w:proofErr w:type="gramStart"/>
            <w:r w:rsidR="00340EFB" w:rsidRPr="009B39EC">
              <w:rPr>
                <w:rFonts w:ascii="Arial" w:hAnsi="Arial" w:cs="Arial"/>
                <w:sz w:val="20"/>
                <w:szCs w:val="20"/>
                <w:lang w:val="en-GB"/>
              </w:rPr>
              <w:t>take action</w:t>
            </w:r>
            <w:proofErr w:type="gramEnd"/>
            <w:r w:rsidR="00D66A68" w:rsidRPr="009B39EC">
              <w:rPr>
                <w:rFonts w:ascii="Arial" w:hAnsi="Arial" w:cs="Arial"/>
                <w:sz w:val="20"/>
                <w:szCs w:val="20"/>
                <w:lang w:val="en-GB"/>
              </w:rPr>
              <w:t xml:space="preserve"> for </w:t>
            </w:r>
            <w:r w:rsidR="00340EFB" w:rsidRPr="009B39EC">
              <w:rPr>
                <w:rFonts w:ascii="Arial" w:hAnsi="Arial" w:cs="Arial"/>
                <w:sz w:val="20"/>
                <w:szCs w:val="20"/>
                <w:lang w:val="en-GB"/>
              </w:rPr>
              <w:t>conduct</w:t>
            </w:r>
            <w:r w:rsidR="00D66A68" w:rsidRPr="009B39EC">
              <w:rPr>
                <w:rFonts w:ascii="Arial" w:hAnsi="Arial" w:cs="Arial"/>
                <w:sz w:val="20"/>
                <w:szCs w:val="20"/>
                <w:lang w:val="en-GB"/>
              </w:rPr>
              <w:t>ing</w:t>
            </w:r>
            <w:r w:rsidR="00340EFB" w:rsidRPr="009B39EC">
              <w:rPr>
                <w:rFonts w:ascii="Arial" w:hAnsi="Arial" w:cs="Arial"/>
                <w:sz w:val="20"/>
                <w:szCs w:val="20"/>
                <w:lang w:val="en-GB"/>
              </w:rPr>
              <w:t xml:space="preserve"> </w:t>
            </w:r>
            <w:r w:rsidR="00264A56" w:rsidRPr="009B39EC">
              <w:rPr>
                <w:rFonts w:ascii="Arial" w:hAnsi="Arial" w:cs="Arial"/>
                <w:sz w:val="20"/>
                <w:szCs w:val="20"/>
                <w:lang w:val="en-GB"/>
              </w:rPr>
              <w:t>investigations and</w:t>
            </w:r>
            <w:r w:rsidR="00340EFB" w:rsidRPr="009B39EC">
              <w:rPr>
                <w:rFonts w:ascii="Arial" w:hAnsi="Arial" w:cs="Arial"/>
                <w:sz w:val="20"/>
                <w:szCs w:val="20"/>
                <w:lang w:val="en-GB"/>
              </w:rPr>
              <w:t xml:space="preserve"> </w:t>
            </w:r>
            <w:r w:rsidR="00AF1F3B" w:rsidRPr="009B39EC">
              <w:rPr>
                <w:rFonts w:ascii="Arial" w:hAnsi="Arial" w:cs="Arial"/>
                <w:sz w:val="20"/>
                <w:szCs w:val="20"/>
                <w:lang w:val="en-GB"/>
              </w:rPr>
              <w:t>t</w:t>
            </w:r>
            <w:r w:rsidR="00340EFB" w:rsidRPr="009B39EC">
              <w:rPr>
                <w:rFonts w:ascii="Arial" w:hAnsi="Arial" w:cs="Arial"/>
                <w:sz w:val="20"/>
                <w:szCs w:val="20"/>
                <w:lang w:val="en-GB"/>
              </w:rPr>
              <w:t>ak</w:t>
            </w:r>
            <w:r w:rsidR="00D66A68" w:rsidRPr="009B39EC">
              <w:rPr>
                <w:rFonts w:ascii="Arial" w:hAnsi="Arial" w:cs="Arial"/>
                <w:sz w:val="20"/>
                <w:szCs w:val="20"/>
                <w:lang w:val="en-GB"/>
              </w:rPr>
              <w:t>ing</w:t>
            </w:r>
            <w:r w:rsidR="00340EFB" w:rsidRPr="009B39EC">
              <w:rPr>
                <w:rFonts w:ascii="Arial" w:hAnsi="Arial" w:cs="Arial"/>
                <w:sz w:val="20"/>
                <w:szCs w:val="20"/>
                <w:lang w:val="en-GB"/>
              </w:rPr>
              <w:t xml:space="preserve"> the appropriate measures to stop the violence against the person reporting it and prevent any further violent events against her in the future</w:t>
            </w:r>
            <w:r w:rsidR="00AF1F3B" w:rsidRPr="009B39EC">
              <w:rPr>
                <w:rFonts w:ascii="Arial" w:hAnsi="Arial" w:cs="Arial"/>
                <w:sz w:val="20"/>
                <w:szCs w:val="20"/>
                <w:lang w:val="en-GB"/>
              </w:rPr>
              <w:t>.</w:t>
            </w:r>
          </w:p>
          <w:p w14:paraId="61CC63AB" w14:textId="450F8894" w:rsidR="009B39EC" w:rsidRPr="009B39EC" w:rsidRDefault="009B39EC" w:rsidP="00BF5668">
            <w:pPr>
              <w:jc w:val="both"/>
              <w:rPr>
                <w:rFonts w:ascii="Arial" w:hAnsi="Arial" w:cs="Arial"/>
                <w:sz w:val="20"/>
                <w:szCs w:val="20"/>
                <w:lang w:val="en-GB"/>
              </w:rPr>
            </w:pPr>
          </w:p>
        </w:tc>
      </w:tr>
      <w:tr w:rsidR="00BF5668" w:rsidRPr="009B39EC" w14:paraId="2ABEFCB5" w14:textId="77777777" w:rsidTr="00CD0E91">
        <w:tc>
          <w:tcPr>
            <w:tcW w:w="5000" w:type="pct"/>
            <w:gridSpan w:val="4"/>
          </w:tcPr>
          <w:p w14:paraId="56BEBB06" w14:textId="77777777" w:rsidR="00BF5668" w:rsidRPr="009B39EC" w:rsidRDefault="00BF5668" w:rsidP="00BF5668">
            <w:pPr>
              <w:pStyle w:val="NoSpacing"/>
              <w:jc w:val="both"/>
              <w:rPr>
                <w:rFonts w:ascii="Arial" w:hAnsi="Arial" w:cs="Arial"/>
                <w:b/>
                <w:bCs/>
                <w:sz w:val="20"/>
                <w:szCs w:val="20"/>
                <w:lang w:val="en-GB"/>
              </w:rPr>
            </w:pPr>
          </w:p>
          <w:p w14:paraId="6B9E1600" w14:textId="5C8047E1" w:rsidR="00BF5668" w:rsidRPr="009B39EC" w:rsidRDefault="00465950" w:rsidP="00BF5668">
            <w:pPr>
              <w:pStyle w:val="NoSpacing"/>
              <w:jc w:val="both"/>
              <w:rPr>
                <w:rFonts w:ascii="Arial" w:hAnsi="Arial" w:cs="Arial"/>
                <w:sz w:val="20"/>
                <w:szCs w:val="20"/>
                <w:lang w:val="en-GB"/>
              </w:rPr>
            </w:pPr>
            <w:r w:rsidRPr="009B39EC">
              <w:rPr>
                <w:rFonts w:ascii="Arial" w:hAnsi="Arial" w:cs="Arial"/>
                <w:b/>
                <w:bCs/>
                <w:sz w:val="20"/>
                <w:szCs w:val="20"/>
                <w:lang w:val="en-GB"/>
              </w:rPr>
              <w:t>Specific Recommendations</w:t>
            </w:r>
            <w:r w:rsidR="00F83DBA" w:rsidRPr="009B39EC">
              <w:rPr>
                <w:rFonts w:ascii="Arial" w:hAnsi="Arial" w:cs="Arial"/>
                <w:b/>
                <w:bCs/>
                <w:sz w:val="20"/>
                <w:szCs w:val="20"/>
                <w:lang w:val="en-GB"/>
              </w:rPr>
              <w:t xml:space="preserve"> </w:t>
            </w:r>
          </w:p>
        </w:tc>
      </w:tr>
      <w:tr w:rsidR="00BF5668" w:rsidRPr="009B39EC" w14:paraId="1DC9FFCB" w14:textId="77777777" w:rsidTr="00F03CCA">
        <w:tc>
          <w:tcPr>
            <w:tcW w:w="216" w:type="pct"/>
          </w:tcPr>
          <w:p w14:paraId="7BF16538" w14:textId="77777777" w:rsidR="00BF5668" w:rsidRPr="009B39EC" w:rsidRDefault="00BF5668" w:rsidP="00BF5668">
            <w:pPr>
              <w:pStyle w:val="NoSpacing"/>
              <w:jc w:val="both"/>
              <w:rPr>
                <w:rFonts w:ascii="Arial" w:hAnsi="Arial" w:cs="Arial"/>
                <w:sz w:val="20"/>
                <w:szCs w:val="20"/>
                <w:lang w:val="en-GB"/>
              </w:rPr>
            </w:pPr>
            <w:r w:rsidRPr="009B39EC">
              <w:rPr>
                <w:rFonts w:ascii="Arial" w:hAnsi="Arial" w:cs="Arial"/>
                <w:sz w:val="20"/>
                <w:szCs w:val="20"/>
                <w:lang w:val="en-GB"/>
              </w:rPr>
              <w:t>32</w:t>
            </w:r>
          </w:p>
        </w:tc>
        <w:tc>
          <w:tcPr>
            <w:tcW w:w="4784" w:type="pct"/>
            <w:gridSpan w:val="3"/>
          </w:tcPr>
          <w:p w14:paraId="31103336" w14:textId="21FF7B0B" w:rsidR="00BF5668" w:rsidRPr="009B39EC" w:rsidRDefault="00DC74D7" w:rsidP="00BF5668">
            <w:pPr>
              <w:pStyle w:val="NoSpacing"/>
              <w:jc w:val="both"/>
              <w:rPr>
                <w:rFonts w:ascii="Arial" w:hAnsi="Arial" w:cs="Arial"/>
                <w:sz w:val="20"/>
                <w:szCs w:val="20"/>
                <w:lang w:val="en-GB"/>
              </w:rPr>
            </w:pPr>
            <w:r w:rsidRPr="009B39EC">
              <w:rPr>
                <w:rFonts w:ascii="Arial" w:hAnsi="Arial" w:cs="Arial"/>
                <w:sz w:val="20"/>
                <w:szCs w:val="20"/>
                <w:lang w:val="en-GB"/>
              </w:rPr>
              <w:t>Please report on measures taken by your authorities contributing to the implementation of the recommendation to set up rape-crisis centres and/or sexual violence referral centres in the framework of a multi-sectorial response targeting the community at large, aiming at breaking the existing taboos in regard to sexual violence and encouraging reporting (Recommendation A.9, IC-CP/</w:t>
            </w:r>
            <w:proofErr w:type="gramStart"/>
            <w:r w:rsidRPr="009B39EC">
              <w:rPr>
                <w:rFonts w:ascii="Arial" w:hAnsi="Arial" w:cs="Arial"/>
                <w:sz w:val="20"/>
                <w:szCs w:val="20"/>
                <w:lang w:val="en-GB"/>
              </w:rPr>
              <w:t>Inf(</w:t>
            </w:r>
            <w:proofErr w:type="gramEnd"/>
            <w:r w:rsidRPr="009B39EC">
              <w:rPr>
                <w:rFonts w:ascii="Arial" w:hAnsi="Arial" w:cs="Arial"/>
                <w:sz w:val="20"/>
                <w:szCs w:val="20"/>
                <w:lang w:val="en-GB"/>
              </w:rPr>
              <w:t>2018)3).</w:t>
            </w:r>
          </w:p>
          <w:p w14:paraId="157D3693" w14:textId="77777777" w:rsidR="004049EE" w:rsidRPr="009B39EC" w:rsidRDefault="004049EE" w:rsidP="00BF5668">
            <w:pPr>
              <w:pStyle w:val="NoSpacing"/>
              <w:jc w:val="both"/>
              <w:rPr>
                <w:rFonts w:ascii="Arial" w:hAnsi="Arial" w:cs="Arial"/>
                <w:sz w:val="20"/>
                <w:szCs w:val="20"/>
                <w:lang w:val="en-GB"/>
              </w:rPr>
            </w:pPr>
          </w:p>
          <w:p w14:paraId="49A431E8" w14:textId="5A506E69" w:rsidR="004049EE" w:rsidRPr="009B39EC" w:rsidRDefault="00B54838" w:rsidP="00BF5668">
            <w:pPr>
              <w:pStyle w:val="NoSpacing"/>
              <w:jc w:val="both"/>
              <w:rPr>
                <w:rFonts w:ascii="Arial" w:hAnsi="Arial" w:cs="Arial"/>
                <w:sz w:val="20"/>
                <w:szCs w:val="20"/>
                <w:lang w:val="en-GB"/>
              </w:rPr>
            </w:pPr>
            <w:r w:rsidRPr="009B39EC">
              <w:rPr>
                <w:rFonts w:ascii="Arial" w:hAnsi="Arial" w:cs="Arial"/>
                <w:sz w:val="20"/>
                <w:szCs w:val="20"/>
                <w:lang w:val="en-GB"/>
              </w:rPr>
              <w:t>LILIUM, the</w:t>
            </w:r>
            <w:r w:rsidR="001168D7" w:rsidRPr="009B39EC">
              <w:rPr>
                <w:rFonts w:ascii="Arial" w:hAnsi="Arial" w:cs="Arial"/>
                <w:sz w:val="20"/>
                <w:szCs w:val="20"/>
                <w:lang w:val="en-GB"/>
              </w:rPr>
              <w:t xml:space="preserve"> first </w:t>
            </w:r>
            <w:r w:rsidRPr="009B39EC">
              <w:rPr>
                <w:rFonts w:ascii="Arial" w:hAnsi="Arial" w:cs="Arial"/>
                <w:sz w:val="20"/>
                <w:szCs w:val="20"/>
                <w:lang w:val="en-GB"/>
              </w:rPr>
              <w:t>crisis management centre for sexual violence cases, was established on 3 December 2018</w:t>
            </w:r>
            <w:r w:rsidR="00BC7B2D" w:rsidRPr="009B39EC">
              <w:rPr>
                <w:rFonts w:ascii="Arial" w:hAnsi="Arial" w:cs="Arial"/>
                <w:sz w:val="20"/>
                <w:szCs w:val="20"/>
                <w:lang w:val="en-GB"/>
              </w:rPr>
              <w:t>, in response to</w:t>
            </w:r>
            <w:r w:rsidR="00D66A68" w:rsidRPr="009B39EC">
              <w:rPr>
                <w:rFonts w:ascii="Arial" w:hAnsi="Arial" w:cs="Arial"/>
                <w:sz w:val="20"/>
                <w:szCs w:val="20"/>
                <w:lang w:val="en-GB"/>
              </w:rPr>
              <w:t xml:space="preserve"> </w:t>
            </w:r>
            <w:r w:rsidR="00BC7B2D" w:rsidRPr="009B39EC">
              <w:rPr>
                <w:rFonts w:ascii="Arial" w:hAnsi="Arial" w:cs="Arial"/>
                <w:sz w:val="20"/>
                <w:szCs w:val="20"/>
                <w:lang w:val="en-GB"/>
              </w:rPr>
              <w:t xml:space="preserve">recommendations by CEDAW, the Committee of the Partis and the GREVIO </w:t>
            </w:r>
            <w:r w:rsidR="00D66A68" w:rsidRPr="009B39EC">
              <w:rPr>
                <w:rFonts w:ascii="Arial" w:hAnsi="Arial" w:cs="Arial"/>
                <w:sz w:val="20"/>
                <w:szCs w:val="20"/>
                <w:lang w:val="en-GB"/>
              </w:rPr>
              <w:t>B</w:t>
            </w:r>
            <w:r w:rsidR="00BC7B2D" w:rsidRPr="009B39EC">
              <w:rPr>
                <w:rFonts w:ascii="Arial" w:hAnsi="Arial" w:cs="Arial"/>
                <w:sz w:val="20"/>
                <w:szCs w:val="20"/>
                <w:lang w:val="en-GB"/>
              </w:rPr>
              <w:t xml:space="preserve">aseline </w:t>
            </w:r>
            <w:r w:rsidR="00D66A68" w:rsidRPr="009B39EC">
              <w:rPr>
                <w:rFonts w:ascii="Arial" w:hAnsi="Arial" w:cs="Arial"/>
                <w:sz w:val="20"/>
                <w:szCs w:val="20"/>
                <w:lang w:val="en-GB"/>
              </w:rPr>
              <w:t>R</w:t>
            </w:r>
            <w:r w:rsidR="00BC7B2D" w:rsidRPr="009B39EC">
              <w:rPr>
                <w:rFonts w:ascii="Arial" w:hAnsi="Arial" w:cs="Arial"/>
                <w:sz w:val="20"/>
                <w:szCs w:val="20"/>
                <w:lang w:val="en-GB"/>
              </w:rPr>
              <w:t xml:space="preserve">eport </w:t>
            </w:r>
            <w:r w:rsidR="00D66A68" w:rsidRPr="009B39EC">
              <w:rPr>
                <w:rFonts w:ascii="Arial" w:hAnsi="Arial" w:cs="Arial"/>
                <w:sz w:val="20"/>
                <w:szCs w:val="20"/>
                <w:lang w:val="en-GB"/>
              </w:rPr>
              <w:t>on</w:t>
            </w:r>
            <w:r w:rsidR="00BC7B2D" w:rsidRPr="009B39EC">
              <w:rPr>
                <w:rFonts w:ascii="Arial" w:hAnsi="Arial" w:cs="Arial"/>
                <w:sz w:val="20"/>
                <w:szCs w:val="20"/>
                <w:lang w:val="en-GB"/>
              </w:rPr>
              <w:t xml:space="preserve"> Albania</w:t>
            </w:r>
            <w:r w:rsidR="004049EE" w:rsidRPr="009B39EC">
              <w:rPr>
                <w:rFonts w:ascii="Arial" w:hAnsi="Arial" w:cs="Arial"/>
                <w:sz w:val="20"/>
                <w:szCs w:val="20"/>
                <w:lang w:val="en-GB"/>
              </w:rPr>
              <w:t xml:space="preserve">. </w:t>
            </w:r>
            <w:r w:rsidR="00BC7B2D" w:rsidRPr="009B39EC">
              <w:rPr>
                <w:rFonts w:ascii="Arial" w:hAnsi="Arial" w:cs="Arial"/>
                <w:sz w:val="20"/>
                <w:szCs w:val="20"/>
                <w:lang w:val="en-GB"/>
              </w:rPr>
              <w:t xml:space="preserve">The </w:t>
            </w:r>
            <w:r w:rsidR="00C22826" w:rsidRPr="009B39EC">
              <w:rPr>
                <w:rFonts w:ascii="Arial" w:hAnsi="Arial" w:cs="Arial"/>
                <w:sz w:val="20"/>
                <w:szCs w:val="20"/>
                <w:lang w:val="en-GB"/>
              </w:rPr>
              <w:t>centre</w:t>
            </w:r>
            <w:r w:rsidR="00BC7B2D" w:rsidRPr="009B39EC">
              <w:rPr>
                <w:rFonts w:ascii="Arial" w:hAnsi="Arial" w:cs="Arial"/>
                <w:sz w:val="20"/>
                <w:szCs w:val="20"/>
                <w:lang w:val="en-GB"/>
              </w:rPr>
              <w:t xml:space="preserve"> provides one-stop emergency services, available 24/7, and </w:t>
            </w:r>
            <w:r w:rsidR="00264A56" w:rsidRPr="009B39EC">
              <w:rPr>
                <w:rFonts w:ascii="Arial" w:hAnsi="Arial" w:cs="Arial"/>
                <w:sz w:val="20"/>
                <w:szCs w:val="20"/>
                <w:lang w:val="en-GB"/>
              </w:rPr>
              <w:t>short-term</w:t>
            </w:r>
            <w:r w:rsidR="00BC7B2D" w:rsidRPr="009B39EC">
              <w:rPr>
                <w:rFonts w:ascii="Arial" w:hAnsi="Arial" w:cs="Arial"/>
                <w:sz w:val="20"/>
                <w:szCs w:val="20"/>
                <w:lang w:val="en-GB"/>
              </w:rPr>
              <w:t xml:space="preserve"> services </w:t>
            </w:r>
            <w:r w:rsidR="004049EE" w:rsidRPr="009B39EC">
              <w:rPr>
                <w:rFonts w:ascii="Arial" w:hAnsi="Arial" w:cs="Arial"/>
                <w:sz w:val="20"/>
                <w:szCs w:val="20"/>
                <w:lang w:val="en-GB"/>
              </w:rPr>
              <w:t xml:space="preserve">(24-72 </w:t>
            </w:r>
            <w:r w:rsidR="00BC7B2D" w:rsidRPr="009B39EC">
              <w:rPr>
                <w:rFonts w:ascii="Arial" w:hAnsi="Arial" w:cs="Arial"/>
                <w:sz w:val="20"/>
                <w:szCs w:val="20"/>
                <w:lang w:val="en-GB"/>
              </w:rPr>
              <w:t>hours</w:t>
            </w:r>
            <w:r w:rsidR="004049EE" w:rsidRPr="009B39EC">
              <w:rPr>
                <w:rFonts w:ascii="Arial" w:hAnsi="Arial" w:cs="Arial"/>
                <w:sz w:val="20"/>
                <w:szCs w:val="20"/>
                <w:lang w:val="en-GB"/>
              </w:rPr>
              <w:t xml:space="preserve">), </w:t>
            </w:r>
            <w:r w:rsidR="00BC7B2D" w:rsidRPr="009B39EC">
              <w:rPr>
                <w:rFonts w:ascii="Arial" w:hAnsi="Arial" w:cs="Arial"/>
                <w:sz w:val="20"/>
                <w:szCs w:val="20"/>
                <w:lang w:val="en-GB"/>
              </w:rPr>
              <w:t xml:space="preserve">for victim survivors of sexual violence and their family members. The establishment of the service was preceded by an assessment of the situation, familiarisation with international best practices and study visits to other countries, which were conducted in parallel with the drafting of the </w:t>
            </w:r>
            <w:r w:rsidR="0029127D" w:rsidRPr="009B39EC">
              <w:rPr>
                <w:rFonts w:ascii="Arial" w:hAnsi="Arial" w:cs="Arial"/>
                <w:sz w:val="20"/>
                <w:szCs w:val="20"/>
                <w:lang w:val="en-GB"/>
              </w:rPr>
              <w:t xml:space="preserve">operational </w:t>
            </w:r>
            <w:r w:rsidR="00BC7B2D" w:rsidRPr="009B39EC">
              <w:rPr>
                <w:rFonts w:ascii="Arial" w:hAnsi="Arial" w:cs="Arial"/>
                <w:sz w:val="20"/>
                <w:szCs w:val="20"/>
                <w:lang w:val="en-GB"/>
              </w:rPr>
              <w:t>standards of the centre. LILIUM operates according to the social</w:t>
            </w:r>
            <w:r w:rsidR="0029127D" w:rsidRPr="009B39EC">
              <w:rPr>
                <w:rFonts w:ascii="Arial" w:hAnsi="Arial" w:cs="Arial"/>
                <w:sz w:val="20"/>
                <w:szCs w:val="20"/>
                <w:lang w:val="en-GB"/>
              </w:rPr>
              <w:t xml:space="preserve"> health care model, with an interdisciplinary team of forensic medicine professionals, </w:t>
            </w:r>
            <w:r w:rsidR="00264A56" w:rsidRPr="009B39EC">
              <w:rPr>
                <w:rFonts w:ascii="Arial" w:hAnsi="Arial" w:cs="Arial"/>
                <w:sz w:val="20"/>
                <w:szCs w:val="20"/>
                <w:lang w:val="en-GB"/>
              </w:rPr>
              <w:t>gynaecologists</w:t>
            </w:r>
            <w:r w:rsidR="0029127D" w:rsidRPr="009B39EC">
              <w:rPr>
                <w:rFonts w:ascii="Arial" w:hAnsi="Arial" w:cs="Arial"/>
                <w:sz w:val="20"/>
                <w:szCs w:val="20"/>
                <w:lang w:val="en-GB"/>
              </w:rPr>
              <w:t xml:space="preserve">, </w:t>
            </w:r>
            <w:r w:rsidR="00264A56" w:rsidRPr="009B39EC">
              <w:rPr>
                <w:rFonts w:ascii="Arial" w:hAnsi="Arial" w:cs="Arial"/>
                <w:sz w:val="20"/>
                <w:szCs w:val="20"/>
                <w:lang w:val="en-GB"/>
              </w:rPr>
              <w:t>paediatricians</w:t>
            </w:r>
            <w:r w:rsidR="0029127D" w:rsidRPr="009B39EC">
              <w:rPr>
                <w:rFonts w:ascii="Arial" w:hAnsi="Arial" w:cs="Arial"/>
                <w:sz w:val="20"/>
                <w:szCs w:val="20"/>
                <w:lang w:val="en-GB"/>
              </w:rPr>
              <w:t xml:space="preserve">, psychiatrists, clinical psychologists, social workers, representatives from the police, prosecutor’s offices, </w:t>
            </w:r>
            <w:proofErr w:type="gramStart"/>
            <w:r w:rsidR="0029127D" w:rsidRPr="009B39EC">
              <w:rPr>
                <w:rFonts w:ascii="Arial" w:hAnsi="Arial" w:cs="Arial"/>
                <w:sz w:val="20"/>
                <w:szCs w:val="20"/>
                <w:lang w:val="en-GB"/>
              </w:rPr>
              <w:t>lawyers</w:t>
            </w:r>
            <w:proofErr w:type="gramEnd"/>
            <w:r w:rsidR="0029127D" w:rsidRPr="009B39EC">
              <w:rPr>
                <w:rFonts w:ascii="Arial" w:hAnsi="Arial" w:cs="Arial"/>
                <w:sz w:val="20"/>
                <w:szCs w:val="20"/>
                <w:lang w:val="en-GB"/>
              </w:rPr>
              <w:t xml:space="preserve"> and nurses. Long-term treatment needs are </w:t>
            </w:r>
            <w:r w:rsidR="00D66A68" w:rsidRPr="009B39EC">
              <w:rPr>
                <w:rFonts w:ascii="Arial" w:hAnsi="Arial" w:cs="Arial"/>
                <w:sz w:val="20"/>
                <w:szCs w:val="20"/>
                <w:lang w:val="en-GB"/>
              </w:rPr>
              <w:t>addressed</w:t>
            </w:r>
            <w:r w:rsidR="0029127D" w:rsidRPr="009B39EC">
              <w:rPr>
                <w:rFonts w:ascii="Arial" w:hAnsi="Arial" w:cs="Arial"/>
                <w:sz w:val="20"/>
                <w:szCs w:val="20"/>
                <w:lang w:val="en-GB"/>
              </w:rPr>
              <w:t xml:space="preserve"> through </w:t>
            </w:r>
            <w:r w:rsidR="00D66A68" w:rsidRPr="009B39EC">
              <w:rPr>
                <w:rFonts w:ascii="Arial" w:hAnsi="Arial" w:cs="Arial"/>
                <w:sz w:val="20"/>
                <w:szCs w:val="20"/>
                <w:lang w:val="en-GB"/>
              </w:rPr>
              <w:t xml:space="preserve">a </w:t>
            </w:r>
            <w:r w:rsidR="0029127D" w:rsidRPr="009B39EC">
              <w:rPr>
                <w:rFonts w:ascii="Arial" w:hAnsi="Arial" w:cs="Arial"/>
                <w:sz w:val="20"/>
                <w:szCs w:val="20"/>
                <w:lang w:val="en-GB"/>
              </w:rPr>
              <w:t>collaboration with Coordinated Referral Mechanisms. The renovated and repurposed premises of the centre meet the service standards. During the COVID-19 pandemic the centre drafted and instituted an enhanced operational protocol</w:t>
            </w:r>
            <w:r w:rsidR="007D20AE" w:rsidRPr="009B39EC">
              <w:rPr>
                <w:rFonts w:ascii="Arial" w:hAnsi="Arial" w:cs="Arial"/>
                <w:sz w:val="20"/>
                <w:szCs w:val="20"/>
                <w:lang w:val="en-GB"/>
              </w:rPr>
              <w:t>.</w:t>
            </w:r>
          </w:p>
          <w:p w14:paraId="23A4B00F" w14:textId="77777777" w:rsidR="007D20AE" w:rsidRPr="009B39EC" w:rsidRDefault="007D20AE" w:rsidP="00BF5668">
            <w:pPr>
              <w:pStyle w:val="NoSpacing"/>
              <w:jc w:val="both"/>
              <w:rPr>
                <w:rFonts w:ascii="Arial" w:hAnsi="Arial" w:cs="Arial"/>
                <w:sz w:val="20"/>
                <w:szCs w:val="20"/>
                <w:lang w:val="en-GB"/>
              </w:rPr>
            </w:pPr>
          </w:p>
          <w:p w14:paraId="7A962854" w14:textId="2488FDC8" w:rsidR="007D20AE" w:rsidRPr="009B39EC" w:rsidRDefault="0029127D" w:rsidP="007D20AE">
            <w:pPr>
              <w:pStyle w:val="NoSpacing"/>
              <w:jc w:val="both"/>
              <w:rPr>
                <w:rFonts w:ascii="Arial" w:hAnsi="Arial" w:cs="Arial"/>
                <w:sz w:val="20"/>
                <w:szCs w:val="20"/>
                <w:lang w:val="en-GB"/>
              </w:rPr>
            </w:pPr>
            <w:r w:rsidRPr="009B39EC">
              <w:rPr>
                <w:rFonts w:ascii="Arial" w:hAnsi="Arial" w:cs="Arial"/>
                <w:sz w:val="20"/>
                <w:szCs w:val="20"/>
                <w:lang w:val="en-GB"/>
              </w:rPr>
              <w:t xml:space="preserve">A victim can be </w:t>
            </w:r>
            <w:r w:rsidR="00D66A68" w:rsidRPr="009B39EC">
              <w:rPr>
                <w:rFonts w:ascii="Arial" w:hAnsi="Arial" w:cs="Arial"/>
                <w:sz w:val="20"/>
                <w:szCs w:val="20"/>
                <w:lang w:val="en-GB"/>
              </w:rPr>
              <w:t xml:space="preserve">accompanied to </w:t>
            </w:r>
            <w:r w:rsidRPr="009B39EC">
              <w:rPr>
                <w:rFonts w:ascii="Arial" w:hAnsi="Arial" w:cs="Arial"/>
                <w:sz w:val="20"/>
                <w:szCs w:val="20"/>
                <w:lang w:val="en-GB"/>
              </w:rPr>
              <w:t xml:space="preserve">the LILIUM Centra by a police officer if the victim </w:t>
            </w:r>
            <w:r w:rsidR="00D66A68" w:rsidRPr="009B39EC">
              <w:rPr>
                <w:rFonts w:ascii="Arial" w:hAnsi="Arial" w:cs="Arial"/>
                <w:sz w:val="20"/>
                <w:szCs w:val="20"/>
                <w:lang w:val="en-GB"/>
              </w:rPr>
              <w:t xml:space="preserve">first </w:t>
            </w:r>
            <w:r w:rsidRPr="009B39EC">
              <w:rPr>
                <w:rFonts w:ascii="Arial" w:hAnsi="Arial" w:cs="Arial"/>
                <w:sz w:val="20"/>
                <w:szCs w:val="20"/>
                <w:lang w:val="en-GB"/>
              </w:rPr>
              <w:t xml:space="preserve">reports to the </w:t>
            </w:r>
            <w:r w:rsidR="00264A56" w:rsidRPr="009B39EC">
              <w:rPr>
                <w:rFonts w:ascii="Arial" w:hAnsi="Arial" w:cs="Arial"/>
                <w:sz w:val="20"/>
                <w:szCs w:val="20"/>
                <w:lang w:val="en-GB"/>
              </w:rPr>
              <w:t>police</w:t>
            </w:r>
            <w:r w:rsidRPr="009B39EC">
              <w:rPr>
                <w:rFonts w:ascii="Arial" w:hAnsi="Arial" w:cs="Arial"/>
                <w:sz w:val="20"/>
                <w:szCs w:val="20"/>
                <w:lang w:val="en-GB"/>
              </w:rPr>
              <w:t xml:space="preserve"> station; by the local coordinator, if she </w:t>
            </w:r>
            <w:r w:rsidR="00950840" w:rsidRPr="009B39EC">
              <w:rPr>
                <w:rFonts w:ascii="Arial" w:hAnsi="Arial" w:cs="Arial"/>
                <w:sz w:val="20"/>
                <w:szCs w:val="20"/>
                <w:lang w:val="en-GB"/>
              </w:rPr>
              <w:t xml:space="preserve">presents herself to the municipality, or any other professional who </w:t>
            </w:r>
            <w:proofErr w:type="gramStart"/>
            <w:r w:rsidR="00950840" w:rsidRPr="009B39EC">
              <w:rPr>
                <w:rFonts w:ascii="Arial" w:hAnsi="Arial" w:cs="Arial"/>
                <w:sz w:val="20"/>
                <w:szCs w:val="20"/>
                <w:lang w:val="en-GB"/>
              </w:rPr>
              <w:t>come</w:t>
            </w:r>
            <w:r w:rsidR="00D66A68" w:rsidRPr="009B39EC">
              <w:rPr>
                <w:rFonts w:ascii="Arial" w:hAnsi="Arial" w:cs="Arial"/>
                <w:sz w:val="20"/>
                <w:szCs w:val="20"/>
                <w:lang w:val="en-GB"/>
              </w:rPr>
              <w:t>s</w:t>
            </w:r>
            <w:r w:rsidR="00950840" w:rsidRPr="009B39EC">
              <w:rPr>
                <w:rFonts w:ascii="Arial" w:hAnsi="Arial" w:cs="Arial"/>
                <w:sz w:val="20"/>
                <w:szCs w:val="20"/>
                <w:lang w:val="en-GB"/>
              </w:rPr>
              <w:t xml:space="preserve"> into contact with</w:t>
            </w:r>
            <w:proofErr w:type="gramEnd"/>
            <w:r w:rsidR="00950840" w:rsidRPr="009B39EC">
              <w:rPr>
                <w:rFonts w:ascii="Arial" w:hAnsi="Arial" w:cs="Arial"/>
                <w:sz w:val="20"/>
                <w:szCs w:val="20"/>
                <w:lang w:val="en-GB"/>
              </w:rPr>
              <w:t xml:space="preserve"> the victim in the course of their work, always on the basis of </w:t>
            </w:r>
            <w:r w:rsidR="00D66A68" w:rsidRPr="009B39EC">
              <w:rPr>
                <w:rFonts w:ascii="Arial" w:hAnsi="Arial" w:cs="Arial"/>
                <w:sz w:val="20"/>
                <w:szCs w:val="20"/>
                <w:lang w:val="en-GB"/>
              </w:rPr>
              <w:t xml:space="preserve">the </w:t>
            </w:r>
            <w:r w:rsidR="00950840" w:rsidRPr="009B39EC">
              <w:rPr>
                <w:rFonts w:ascii="Arial" w:hAnsi="Arial" w:cs="Arial"/>
                <w:sz w:val="20"/>
                <w:szCs w:val="20"/>
                <w:lang w:val="en-GB"/>
              </w:rPr>
              <w:t>informed consent by the victim</w:t>
            </w:r>
            <w:r w:rsidR="007D20AE" w:rsidRPr="009B39EC">
              <w:rPr>
                <w:rFonts w:ascii="Arial" w:hAnsi="Arial" w:cs="Arial"/>
                <w:sz w:val="20"/>
                <w:szCs w:val="20"/>
                <w:lang w:val="en-GB"/>
              </w:rPr>
              <w:t xml:space="preserve">. </w:t>
            </w:r>
            <w:r w:rsidR="00950840" w:rsidRPr="009B39EC">
              <w:rPr>
                <w:rFonts w:ascii="Arial" w:hAnsi="Arial" w:cs="Arial"/>
                <w:sz w:val="20"/>
                <w:szCs w:val="20"/>
                <w:lang w:val="en-GB"/>
              </w:rPr>
              <w:t xml:space="preserve">The victim is brought to the centre following </w:t>
            </w:r>
            <w:r w:rsidR="00D66A68" w:rsidRPr="009B39EC">
              <w:rPr>
                <w:rFonts w:ascii="Arial" w:hAnsi="Arial" w:cs="Arial"/>
                <w:sz w:val="20"/>
                <w:szCs w:val="20"/>
                <w:lang w:val="en-GB"/>
              </w:rPr>
              <w:t xml:space="preserve">prior </w:t>
            </w:r>
            <w:r w:rsidR="00950840" w:rsidRPr="009B39EC">
              <w:rPr>
                <w:rFonts w:ascii="Arial" w:hAnsi="Arial" w:cs="Arial"/>
                <w:sz w:val="20"/>
                <w:szCs w:val="20"/>
                <w:lang w:val="en-GB"/>
              </w:rPr>
              <w:t xml:space="preserve">notification and </w:t>
            </w:r>
            <w:r w:rsidR="00D66A68" w:rsidRPr="009B39EC">
              <w:rPr>
                <w:rFonts w:ascii="Arial" w:hAnsi="Arial" w:cs="Arial"/>
                <w:sz w:val="20"/>
                <w:szCs w:val="20"/>
                <w:lang w:val="en-GB"/>
              </w:rPr>
              <w:t>confirmation by the</w:t>
            </w:r>
            <w:r w:rsidR="00950840" w:rsidRPr="009B39EC">
              <w:rPr>
                <w:rFonts w:ascii="Arial" w:hAnsi="Arial" w:cs="Arial"/>
                <w:sz w:val="20"/>
                <w:szCs w:val="20"/>
                <w:lang w:val="en-GB"/>
              </w:rPr>
              <w:t xml:space="preserve"> manager of the centre (who confirms to the authorities whether the centre has </w:t>
            </w:r>
            <w:r w:rsidR="00D66A68" w:rsidRPr="009B39EC">
              <w:rPr>
                <w:rFonts w:ascii="Arial" w:hAnsi="Arial" w:cs="Arial"/>
                <w:sz w:val="20"/>
                <w:szCs w:val="20"/>
                <w:lang w:val="en-GB"/>
              </w:rPr>
              <w:t xml:space="preserve">available </w:t>
            </w:r>
            <w:r w:rsidR="00950840" w:rsidRPr="009B39EC">
              <w:rPr>
                <w:rFonts w:ascii="Arial" w:hAnsi="Arial" w:cs="Arial"/>
                <w:sz w:val="20"/>
                <w:szCs w:val="20"/>
                <w:lang w:val="en-GB"/>
              </w:rPr>
              <w:t>reception capacit</w:t>
            </w:r>
            <w:r w:rsidR="00D66A68" w:rsidRPr="009B39EC">
              <w:rPr>
                <w:rFonts w:ascii="Arial" w:hAnsi="Arial" w:cs="Arial"/>
                <w:sz w:val="20"/>
                <w:szCs w:val="20"/>
                <w:lang w:val="en-GB"/>
              </w:rPr>
              <w:t xml:space="preserve">ies at </w:t>
            </w:r>
            <w:r w:rsidR="00950840" w:rsidRPr="009B39EC">
              <w:rPr>
                <w:rFonts w:ascii="Arial" w:hAnsi="Arial" w:cs="Arial"/>
                <w:sz w:val="20"/>
                <w:szCs w:val="20"/>
                <w:lang w:val="en-GB"/>
              </w:rPr>
              <w:t>that moment)</w:t>
            </w:r>
            <w:r w:rsidR="007D20AE" w:rsidRPr="009B39EC">
              <w:rPr>
                <w:rFonts w:ascii="Arial" w:hAnsi="Arial" w:cs="Arial"/>
                <w:sz w:val="20"/>
                <w:szCs w:val="20"/>
                <w:lang w:val="en-GB"/>
              </w:rPr>
              <w:t xml:space="preserve">. </w:t>
            </w:r>
            <w:r w:rsidR="00950840" w:rsidRPr="009B39EC">
              <w:rPr>
                <w:rFonts w:ascii="Arial" w:hAnsi="Arial" w:cs="Arial"/>
                <w:sz w:val="20"/>
                <w:szCs w:val="20"/>
                <w:lang w:val="en-GB"/>
              </w:rPr>
              <w:t xml:space="preserve">The victim can also present herself to the centre in </w:t>
            </w:r>
            <w:proofErr w:type="gramStart"/>
            <w:r w:rsidR="00950840" w:rsidRPr="009B39EC">
              <w:rPr>
                <w:rFonts w:ascii="Arial" w:hAnsi="Arial" w:cs="Arial"/>
                <w:sz w:val="20"/>
                <w:szCs w:val="20"/>
                <w:lang w:val="en-GB"/>
              </w:rPr>
              <w:t>person, if</w:t>
            </w:r>
            <w:proofErr w:type="gramEnd"/>
            <w:r w:rsidR="00950840" w:rsidRPr="009B39EC">
              <w:rPr>
                <w:rFonts w:ascii="Arial" w:hAnsi="Arial" w:cs="Arial"/>
                <w:sz w:val="20"/>
                <w:szCs w:val="20"/>
                <w:lang w:val="en-GB"/>
              </w:rPr>
              <w:t xml:space="preserve"> she has had prior information about its existence and work. In each </w:t>
            </w:r>
            <w:r w:rsidR="00264A56" w:rsidRPr="009B39EC">
              <w:rPr>
                <w:rFonts w:ascii="Arial" w:hAnsi="Arial" w:cs="Arial"/>
                <w:sz w:val="20"/>
                <w:szCs w:val="20"/>
                <w:lang w:val="en-GB"/>
              </w:rPr>
              <w:t>case</w:t>
            </w:r>
            <w:r w:rsidR="00950840" w:rsidRPr="009B39EC">
              <w:rPr>
                <w:rFonts w:ascii="Arial" w:hAnsi="Arial" w:cs="Arial"/>
                <w:sz w:val="20"/>
                <w:szCs w:val="20"/>
                <w:lang w:val="en-GB"/>
              </w:rPr>
              <w:t xml:space="preserve">, the staff of the centre, who act </w:t>
            </w:r>
            <w:proofErr w:type="gramStart"/>
            <w:r w:rsidR="00950840" w:rsidRPr="009B39EC">
              <w:rPr>
                <w:rFonts w:ascii="Arial" w:hAnsi="Arial" w:cs="Arial"/>
                <w:sz w:val="20"/>
                <w:szCs w:val="20"/>
                <w:lang w:val="en-GB"/>
              </w:rPr>
              <w:t>on the basis of</w:t>
            </w:r>
            <w:proofErr w:type="gramEnd"/>
            <w:r w:rsidR="00950840" w:rsidRPr="009B39EC">
              <w:rPr>
                <w:rFonts w:ascii="Arial" w:hAnsi="Arial" w:cs="Arial"/>
                <w:sz w:val="20"/>
                <w:szCs w:val="20"/>
                <w:lang w:val="en-GB"/>
              </w:rPr>
              <w:t xml:space="preserve"> a preliminary assessment of the urgent needs of the victim (in cases where </w:t>
            </w:r>
            <w:r w:rsidR="00264A56" w:rsidRPr="009B39EC">
              <w:rPr>
                <w:rFonts w:ascii="Arial" w:hAnsi="Arial" w:cs="Arial"/>
                <w:sz w:val="20"/>
                <w:szCs w:val="20"/>
                <w:lang w:val="en-GB"/>
              </w:rPr>
              <w:t>the victim</w:t>
            </w:r>
            <w:r w:rsidR="00950840" w:rsidRPr="009B39EC">
              <w:rPr>
                <w:rFonts w:ascii="Arial" w:hAnsi="Arial" w:cs="Arial"/>
                <w:sz w:val="20"/>
                <w:szCs w:val="20"/>
                <w:lang w:val="en-GB"/>
              </w:rPr>
              <w:t xml:space="preserve"> has been referred by a member of the Multidisciplinary Technical Team and such a report is available), conduct an assessment of the </w:t>
            </w:r>
            <w:r w:rsidR="00264A56" w:rsidRPr="009B39EC">
              <w:rPr>
                <w:rFonts w:ascii="Arial" w:hAnsi="Arial" w:cs="Arial"/>
                <w:sz w:val="20"/>
                <w:szCs w:val="20"/>
                <w:lang w:val="en-GB"/>
              </w:rPr>
              <w:t>short</w:t>
            </w:r>
            <w:r w:rsidR="00950840" w:rsidRPr="009B39EC">
              <w:rPr>
                <w:rFonts w:ascii="Arial" w:hAnsi="Arial" w:cs="Arial"/>
                <w:sz w:val="20"/>
                <w:szCs w:val="20"/>
                <w:lang w:val="en-GB"/>
              </w:rPr>
              <w:t>-term, medium-term and ling-term needs of the victim, in accordance with the coordinated services that the centre provides</w:t>
            </w:r>
            <w:r w:rsidR="007D20AE" w:rsidRPr="009B39EC">
              <w:rPr>
                <w:rFonts w:ascii="Arial" w:hAnsi="Arial" w:cs="Arial"/>
                <w:sz w:val="20"/>
                <w:szCs w:val="20"/>
                <w:lang w:val="en-GB"/>
              </w:rPr>
              <w:t xml:space="preserve">. </w:t>
            </w:r>
          </w:p>
          <w:p w14:paraId="33071290" w14:textId="77777777" w:rsidR="007D20AE" w:rsidRPr="009B39EC" w:rsidRDefault="007D20AE" w:rsidP="007D20AE">
            <w:pPr>
              <w:pStyle w:val="NoSpacing"/>
              <w:jc w:val="both"/>
              <w:rPr>
                <w:rFonts w:ascii="Arial" w:hAnsi="Arial" w:cs="Arial"/>
                <w:sz w:val="20"/>
                <w:szCs w:val="20"/>
                <w:lang w:val="en-GB"/>
              </w:rPr>
            </w:pPr>
          </w:p>
          <w:p w14:paraId="463A3633" w14:textId="666D3A8D" w:rsidR="00E02752" w:rsidRPr="009B39EC" w:rsidRDefault="00950840" w:rsidP="007D20AE">
            <w:pPr>
              <w:pStyle w:val="NoSpacing"/>
              <w:jc w:val="both"/>
              <w:rPr>
                <w:rFonts w:ascii="Arial" w:hAnsi="Arial" w:cs="Arial"/>
                <w:sz w:val="20"/>
                <w:szCs w:val="20"/>
                <w:lang w:val="en-GB"/>
              </w:rPr>
            </w:pPr>
            <w:r w:rsidRPr="009B39EC">
              <w:rPr>
                <w:rFonts w:ascii="Arial" w:hAnsi="Arial" w:cs="Arial"/>
                <w:sz w:val="20"/>
                <w:szCs w:val="20"/>
                <w:lang w:val="en-GB"/>
              </w:rPr>
              <w:t>The LILIUM Centre provides primary services, such as health care, forensic medicine services, psychosocial support, clothing, food, further referrals, statement taking, initiation of criminal justice procedures, as well as psychological counselling to help the victim cope with the situation.</w:t>
            </w:r>
            <w:r w:rsidR="007D20AE" w:rsidRPr="009B39EC">
              <w:rPr>
                <w:rFonts w:ascii="Arial" w:hAnsi="Arial" w:cs="Arial"/>
                <w:sz w:val="20"/>
                <w:szCs w:val="20"/>
                <w:lang w:val="en-GB"/>
              </w:rPr>
              <w:t xml:space="preserve"> </w:t>
            </w:r>
            <w:r w:rsidR="00457D0E" w:rsidRPr="009B39EC">
              <w:rPr>
                <w:rFonts w:ascii="Arial" w:hAnsi="Arial" w:cs="Arial"/>
                <w:sz w:val="20"/>
                <w:szCs w:val="20"/>
                <w:lang w:val="en-GB"/>
              </w:rPr>
              <w:t xml:space="preserve">The LILIUM Centre is conceived as an emergency centre, </w:t>
            </w:r>
            <w:r w:rsidR="00264A56" w:rsidRPr="009B39EC">
              <w:rPr>
                <w:rFonts w:ascii="Arial" w:hAnsi="Arial" w:cs="Arial"/>
                <w:sz w:val="20"/>
                <w:szCs w:val="20"/>
                <w:lang w:val="en-GB"/>
              </w:rPr>
              <w:t>i.e.,</w:t>
            </w:r>
            <w:r w:rsidR="00457D0E" w:rsidRPr="009B39EC">
              <w:rPr>
                <w:rFonts w:ascii="Arial" w:hAnsi="Arial" w:cs="Arial"/>
                <w:sz w:val="20"/>
                <w:szCs w:val="20"/>
                <w:lang w:val="en-GB"/>
              </w:rPr>
              <w:t xml:space="preserve"> a centre where the above-mentioned services are provided for a period of up to </w:t>
            </w:r>
            <w:r w:rsidR="007D20AE" w:rsidRPr="009B39EC">
              <w:rPr>
                <w:rFonts w:ascii="Arial" w:hAnsi="Arial" w:cs="Arial"/>
                <w:sz w:val="20"/>
                <w:szCs w:val="20"/>
                <w:lang w:val="en-GB"/>
              </w:rPr>
              <w:t xml:space="preserve">72 </w:t>
            </w:r>
            <w:r w:rsidR="00457D0E" w:rsidRPr="009B39EC">
              <w:rPr>
                <w:rFonts w:ascii="Arial" w:hAnsi="Arial" w:cs="Arial"/>
                <w:sz w:val="20"/>
                <w:szCs w:val="20"/>
                <w:lang w:val="en-GB"/>
              </w:rPr>
              <w:t xml:space="preserve">hours, after which the victim cannot continue to stay at the </w:t>
            </w:r>
            <w:r w:rsidR="00264A56" w:rsidRPr="009B39EC">
              <w:rPr>
                <w:rFonts w:ascii="Arial" w:hAnsi="Arial" w:cs="Arial"/>
                <w:sz w:val="20"/>
                <w:szCs w:val="20"/>
                <w:lang w:val="en-GB"/>
              </w:rPr>
              <w:t>centre</w:t>
            </w:r>
            <w:r w:rsidR="00457D0E" w:rsidRPr="009B39EC">
              <w:rPr>
                <w:rFonts w:ascii="Arial" w:hAnsi="Arial" w:cs="Arial"/>
                <w:sz w:val="20"/>
                <w:szCs w:val="20"/>
                <w:lang w:val="en-GB"/>
              </w:rPr>
              <w:t xml:space="preserve"> and is referred to another specialised support services centre</w:t>
            </w:r>
            <w:r w:rsidR="007D20AE" w:rsidRPr="009B39EC">
              <w:rPr>
                <w:rFonts w:ascii="Arial" w:hAnsi="Arial" w:cs="Arial"/>
                <w:sz w:val="20"/>
                <w:szCs w:val="20"/>
                <w:lang w:val="en-GB"/>
              </w:rPr>
              <w:t xml:space="preserve">. </w:t>
            </w:r>
            <w:r w:rsidR="00457D0E" w:rsidRPr="009B39EC">
              <w:rPr>
                <w:rFonts w:ascii="Arial" w:hAnsi="Arial" w:cs="Arial"/>
                <w:sz w:val="20"/>
                <w:szCs w:val="20"/>
                <w:lang w:val="en-GB"/>
              </w:rPr>
              <w:t>After obtaining the informed consent of the victim, the centre assists with the process of evidence collection, starting with a physical examination</w:t>
            </w:r>
            <w:r w:rsidR="00D66A68" w:rsidRPr="009B39EC">
              <w:rPr>
                <w:rFonts w:ascii="Arial" w:hAnsi="Arial" w:cs="Arial"/>
                <w:sz w:val="20"/>
                <w:szCs w:val="20"/>
                <w:lang w:val="en-GB"/>
              </w:rPr>
              <w:t>, which is carried out</w:t>
            </w:r>
            <w:r w:rsidR="00457D0E" w:rsidRPr="009B39EC">
              <w:rPr>
                <w:rFonts w:ascii="Arial" w:hAnsi="Arial" w:cs="Arial"/>
                <w:sz w:val="20"/>
                <w:szCs w:val="20"/>
                <w:lang w:val="en-GB"/>
              </w:rPr>
              <w:t xml:space="preserve"> as soon as practically possible, and the collection of evidence by the forensic clinician</w:t>
            </w:r>
            <w:r w:rsidR="00E02752" w:rsidRPr="009B39EC">
              <w:rPr>
                <w:rFonts w:ascii="Arial" w:hAnsi="Arial" w:cs="Arial"/>
                <w:sz w:val="20"/>
                <w:szCs w:val="20"/>
                <w:lang w:val="en-GB"/>
              </w:rPr>
              <w:t xml:space="preserve">. These processes go hand in hand with the provision of psycho-social </w:t>
            </w:r>
            <w:r w:rsidR="00D66A68" w:rsidRPr="009B39EC">
              <w:rPr>
                <w:rFonts w:ascii="Arial" w:hAnsi="Arial" w:cs="Arial"/>
                <w:sz w:val="20"/>
                <w:szCs w:val="20"/>
                <w:lang w:val="en-GB"/>
              </w:rPr>
              <w:t xml:space="preserve">support </w:t>
            </w:r>
            <w:r w:rsidR="00E02752" w:rsidRPr="009B39EC">
              <w:rPr>
                <w:rFonts w:ascii="Arial" w:hAnsi="Arial" w:cs="Arial"/>
                <w:sz w:val="20"/>
                <w:szCs w:val="20"/>
                <w:lang w:val="en-GB"/>
              </w:rPr>
              <w:t xml:space="preserve">services and sheltered accommodation for a period of up to 72 hours. </w:t>
            </w:r>
          </w:p>
          <w:p w14:paraId="5896E0F7" w14:textId="77777777" w:rsidR="00D66A68" w:rsidRPr="009B39EC" w:rsidRDefault="00D66A68" w:rsidP="00E02752">
            <w:pPr>
              <w:pStyle w:val="NoSpacing"/>
              <w:jc w:val="both"/>
              <w:rPr>
                <w:rFonts w:ascii="Arial" w:hAnsi="Arial" w:cs="Arial"/>
                <w:sz w:val="20"/>
                <w:szCs w:val="20"/>
                <w:lang w:val="en-GB"/>
              </w:rPr>
            </w:pPr>
          </w:p>
          <w:p w14:paraId="67BDADCC" w14:textId="7F593EC1" w:rsidR="007D20AE" w:rsidRPr="009B39EC" w:rsidRDefault="00E02752" w:rsidP="00E02752">
            <w:pPr>
              <w:pStyle w:val="NoSpacing"/>
              <w:jc w:val="both"/>
              <w:rPr>
                <w:rFonts w:ascii="Arial" w:hAnsi="Arial" w:cs="Arial"/>
                <w:sz w:val="20"/>
                <w:szCs w:val="20"/>
                <w:lang w:val="en-GB"/>
              </w:rPr>
            </w:pPr>
            <w:r w:rsidRPr="009B39EC">
              <w:rPr>
                <w:rFonts w:ascii="Arial" w:hAnsi="Arial" w:cs="Arial"/>
                <w:sz w:val="20"/>
                <w:szCs w:val="20"/>
                <w:lang w:val="en-GB"/>
              </w:rPr>
              <w:t xml:space="preserve">A coordinator at the crisis management centre for sexual violence cases is a professional who </w:t>
            </w:r>
            <w:r w:rsidR="00D66A68" w:rsidRPr="009B39EC">
              <w:rPr>
                <w:rFonts w:ascii="Arial" w:hAnsi="Arial" w:cs="Arial"/>
                <w:sz w:val="20"/>
                <w:szCs w:val="20"/>
                <w:lang w:val="en-GB"/>
              </w:rPr>
              <w:t xml:space="preserve">goes through the </w:t>
            </w:r>
            <w:r w:rsidRPr="009B39EC">
              <w:rPr>
                <w:rFonts w:ascii="Arial" w:hAnsi="Arial" w:cs="Arial"/>
                <w:sz w:val="20"/>
                <w:szCs w:val="20"/>
                <w:lang w:val="en-GB"/>
              </w:rPr>
              <w:t>reception procedures</w:t>
            </w:r>
            <w:r w:rsidR="00D66A68" w:rsidRPr="009B39EC">
              <w:rPr>
                <w:rFonts w:ascii="Arial" w:hAnsi="Arial" w:cs="Arial"/>
                <w:sz w:val="20"/>
                <w:szCs w:val="20"/>
                <w:lang w:val="en-GB"/>
              </w:rPr>
              <w:t xml:space="preserve"> with the victim</w:t>
            </w:r>
            <w:r w:rsidRPr="009B39EC">
              <w:rPr>
                <w:rFonts w:ascii="Arial" w:hAnsi="Arial" w:cs="Arial"/>
                <w:sz w:val="20"/>
                <w:szCs w:val="20"/>
                <w:lang w:val="en-GB"/>
              </w:rPr>
              <w:t xml:space="preserve">, notifies the multi-disciplinary team and is responsible for the identification of the victims’ immediate needs, referral, and the management of the case for the duration of the stay in the centre, </w:t>
            </w:r>
            <w:r w:rsidR="00D66A68" w:rsidRPr="009B39EC">
              <w:rPr>
                <w:rFonts w:ascii="Arial" w:hAnsi="Arial" w:cs="Arial"/>
                <w:sz w:val="20"/>
                <w:szCs w:val="20"/>
                <w:lang w:val="en-GB"/>
              </w:rPr>
              <w:t xml:space="preserve">i.e., </w:t>
            </w:r>
            <w:r w:rsidRPr="009B39EC">
              <w:rPr>
                <w:rFonts w:ascii="Arial" w:hAnsi="Arial" w:cs="Arial"/>
                <w:sz w:val="20"/>
                <w:szCs w:val="20"/>
                <w:lang w:val="en-GB"/>
              </w:rPr>
              <w:t xml:space="preserve">for up to 72 hours. He or she </w:t>
            </w:r>
            <w:r w:rsidR="00D66A68" w:rsidRPr="009B39EC">
              <w:rPr>
                <w:rFonts w:ascii="Arial" w:hAnsi="Arial" w:cs="Arial"/>
                <w:sz w:val="20"/>
                <w:szCs w:val="20"/>
                <w:lang w:val="en-GB"/>
              </w:rPr>
              <w:t xml:space="preserve">works closely with </w:t>
            </w:r>
            <w:r w:rsidRPr="009B39EC">
              <w:rPr>
                <w:rFonts w:ascii="Arial" w:hAnsi="Arial" w:cs="Arial"/>
                <w:sz w:val="20"/>
                <w:szCs w:val="20"/>
                <w:lang w:val="en-GB"/>
              </w:rPr>
              <w:t xml:space="preserve">the local coordinator at the municipality, with a view to arranging the referral and further management of the case following their reception and treatment at </w:t>
            </w:r>
            <w:r w:rsidR="007D20AE" w:rsidRPr="009B39EC">
              <w:rPr>
                <w:rFonts w:ascii="Arial" w:hAnsi="Arial" w:cs="Arial"/>
                <w:sz w:val="20"/>
                <w:szCs w:val="20"/>
                <w:lang w:val="en-GB"/>
              </w:rPr>
              <w:t>“Lilium”.</w:t>
            </w:r>
          </w:p>
          <w:p w14:paraId="72C1647E" w14:textId="77777777" w:rsidR="007D20AE" w:rsidRPr="009B39EC" w:rsidRDefault="007D20AE" w:rsidP="007D20AE">
            <w:pPr>
              <w:pStyle w:val="NoSpacing"/>
              <w:jc w:val="both"/>
              <w:rPr>
                <w:rFonts w:ascii="Arial" w:hAnsi="Arial" w:cs="Arial"/>
                <w:sz w:val="20"/>
                <w:szCs w:val="20"/>
                <w:lang w:val="en-GB"/>
              </w:rPr>
            </w:pPr>
          </w:p>
          <w:p w14:paraId="00391982" w14:textId="62F6E526" w:rsidR="007D20AE" w:rsidRPr="009B39EC" w:rsidRDefault="00E02752" w:rsidP="007D20AE">
            <w:pPr>
              <w:pStyle w:val="NoSpacing"/>
              <w:jc w:val="both"/>
              <w:rPr>
                <w:rFonts w:ascii="Arial" w:hAnsi="Arial" w:cs="Arial"/>
                <w:sz w:val="20"/>
                <w:szCs w:val="20"/>
                <w:lang w:val="en-GB"/>
              </w:rPr>
            </w:pPr>
            <w:r w:rsidRPr="009B39EC">
              <w:rPr>
                <w:rFonts w:ascii="Arial" w:hAnsi="Arial" w:cs="Arial"/>
                <w:sz w:val="20"/>
                <w:szCs w:val="20"/>
                <w:lang w:val="en-GB"/>
              </w:rPr>
              <w:lastRenderedPageBreak/>
              <w:t>The Centre Coordinator and the victim draft an individual plan of assistance with a view to addressing the victim’s urgent needs during the 72 hours of their stay at the centre</w:t>
            </w:r>
            <w:r w:rsidR="008445B3" w:rsidRPr="009B39EC">
              <w:rPr>
                <w:rFonts w:ascii="Arial" w:hAnsi="Arial" w:cs="Arial"/>
                <w:sz w:val="20"/>
                <w:szCs w:val="20"/>
                <w:lang w:val="en-GB"/>
              </w:rPr>
              <w:t>, based on a</w:t>
            </w:r>
            <w:r w:rsidR="00D66A68" w:rsidRPr="009B39EC">
              <w:rPr>
                <w:rFonts w:ascii="Arial" w:hAnsi="Arial" w:cs="Arial"/>
                <w:sz w:val="20"/>
                <w:szCs w:val="20"/>
                <w:lang w:val="en-GB"/>
              </w:rPr>
              <w:t>ny</w:t>
            </w:r>
            <w:r w:rsidR="008445B3" w:rsidRPr="009B39EC">
              <w:rPr>
                <w:rFonts w:ascii="Arial" w:hAnsi="Arial" w:cs="Arial"/>
                <w:sz w:val="20"/>
                <w:szCs w:val="20"/>
                <w:lang w:val="en-GB"/>
              </w:rPr>
              <w:t xml:space="preserve"> prior </w:t>
            </w:r>
            <w:proofErr w:type="gramStart"/>
            <w:r w:rsidR="008445B3" w:rsidRPr="009B39EC">
              <w:rPr>
                <w:rFonts w:ascii="Arial" w:hAnsi="Arial" w:cs="Arial"/>
                <w:sz w:val="20"/>
                <w:szCs w:val="20"/>
                <w:lang w:val="en-GB"/>
              </w:rPr>
              <w:t>needs</w:t>
            </w:r>
            <w:proofErr w:type="gramEnd"/>
            <w:r w:rsidR="008445B3" w:rsidRPr="009B39EC">
              <w:rPr>
                <w:rFonts w:ascii="Arial" w:hAnsi="Arial" w:cs="Arial"/>
                <w:sz w:val="20"/>
                <w:szCs w:val="20"/>
                <w:lang w:val="en-GB"/>
              </w:rPr>
              <w:t xml:space="preserve"> assessment</w:t>
            </w:r>
            <w:r w:rsidR="00D66A68" w:rsidRPr="009B39EC">
              <w:rPr>
                <w:rFonts w:ascii="Arial" w:hAnsi="Arial" w:cs="Arial"/>
                <w:sz w:val="20"/>
                <w:szCs w:val="20"/>
                <w:lang w:val="en-GB"/>
              </w:rPr>
              <w:t xml:space="preserve">s </w:t>
            </w:r>
            <w:r w:rsidR="008445B3" w:rsidRPr="009B39EC">
              <w:rPr>
                <w:rFonts w:ascii="Arial" w:hAnsi="Arial" w:cs="Arial"/>
                <w:sz w:val="20"/>
                <w:szCs w:val="20"/>
                <w:lang w:val="en-GB"/>
              </w:rPr>
              <w:t xml:space="preserve">and the </w:t>
            </w:r>
            <w:r w:rsidR="00D66A68" w:rsidRPr="009B39EC">
              <w:rPr>
                <w:rFonts w:ascii="Arial" w:hAnsi="Arial" w:cs="Arial"/>
                <w:sz w:val="20"/>
                <w:szCs w:val="20"/>
                <w:lang w:val="en-GB"/>
              </w:rPr>
              <w:t xml:space="preserve">extent of </w:t>
            </w:r>
            <w:r w:rsidR="008445B3" w:rsidRPr="009B39EC">
              <w:rPr>
                <w:rFonts w:ascii="Arial" w:hAnsi="Arial" w:cs="Arial"/>
                <w:sz w:val="20"/>
                <w:szCs w:val="20"/>
                <w:lang w:val="en-GB"/>
              </w:rPr>
              <w:t xml:space="preserve">coordinated services provided </w:t>
            </w:r>
            <w:r w:rsidR="00D66A68" w:rsidRPr="009B39EC">
              <w:rPr>
                <w:rFonts w:ascii="Arial" w:hAnsi="Arial" w:cs="Arial"/>
                <w:sz w:val="20"/>
                <w:szCs w:val="20"/>
                <w:lang w:val="en-GB"/>
              </w:rPr>
              <w:t>at</w:t>
            </w:r>
            <w:r w:rsidR="008445B3" w:rsidRPr="009B39EC">
              <w:rPr>
                <w:rFonts w:ascii="Arial" w:hAnsi="Arial" w:cs="Arial"/>
                <w:sz w:val="20"/>
                <w:szCs w:val="20"/>
                <w:lang w:val="en-GB"/>
              </w:rPr>
              <w:t xml:space="preserve"> the centre. The victim’s needs assessment is c</w:t>
            </w:r>
            <w:r w:rsidR="00D66A68" w:rsidRPr="009B39EC">
              <w:rPr>
                <w:rFonts w:ascii="Arial" w:hAnsi="Arial" w:cs="Arial"/>
                <w:sz w:val="20"/>
                <w:szCs w:val="20"/>
                <w:lang w:val="en-GB"/>
              </w:rPr>
              <w:t>arried out</w:t>
            </w:r>
            <w:r w:rsidR="008445B3" w:rsidRPr="009B39EC">
              <w:rPr>
                <w:rFonts w:ascii="Arial" w:hAnsi="Arial" w:cs="Arial"/>
                <w:sz w:val="20"/>
                <w:szCs w:val="20"/>
                <w:lang w:val="en-GB"/>
              </w:rPr>
              <w:t xml:space="preserve"> immediately after the victim presents herself at the centre, </w:t>
            </w:r>
            <w:proofErr w:type="gramStart"/>
            <w:r w:rsidR="008445B3" w:rsidRPr="009B39EC">
              <w:rPr>
                <w:rFonts w:ascii="Arial" w:hAnsi="Arial" w:cs="Arial"/>
                <w:sz w:val="20"/>
                <w:szCs w:val="20"/>
                <w:lang w:val="en-GB"/>
              </w:rPr>
              <w:t>taking into account</w:t>
            </w:r>
            <w:proofErr w:type="gramEnd"/>
            <w:r w:rsidR="008445B3" w:rsidRPr="009B39EC">
              <w:rPr>
                <w:rFonts w:ascii="Arial" w:hAnsi="Arial" w:cs="Arial"/>
                <w:sz w:val="20"/>
                <w:szCs w:val="20"/>
                <w:lang w:val="en-GB"/>
              </w:rPr>
              <w:t xml:space="preserve"> any prior assessments by other members of the Technical Multidisciplinary Team who were the first to come into contact with the victim,</w:t>
            </w:r>
            <w:r w:rsidR="00D66A68" w:rsidRPr="009B39EC">
              <w:rPr>
                <w:rFonts w:ascii="Arial" w:hAnsi="Arial" w:cs="Arial"/>
                <w:sz w:val="20"/>
                <w:szCs w:val="20"/>
                <w:lang w:val="en-GB"/>
              </w:rPr>
              <w:t xml:space="preserve"> where</w:t>
            </w:r>
            <w:r w:rsidR="008445B3" w:rsidRPr="009B39EC">
              <w:rPr>
                <w:rFonts w:ascii="Arial" w:hAnsi="Arial" w:cs="Arial"/>
                <w:sz w:val="20"/>
                <w:szCs w:val="20"/>
                <w:lang w:val="en-GB"/>
              </w:rPr>
              <w:t xml:space="preserve"> such reports exist</w:t>
            </w:r>
            <w:r w:rsidR="007D20AE" w:rsidRPr="009B39EC">
              <w:rPr>
                <w:rFonts w:ascii="Arial" w:hAnsi="Arial" w:cs="Arial"/>
                <w:sz w:val="20"/>
                <w:szCs w:val="20"/>
                <w:lang w:val="en-GB"/>
              </w:rPr>
              <w:t xml:space="preserve">. </w:t>
            </w:r>
            <w:r w:rsidR="008445B3" w:rsidRPr="009B39EC">
              <w:rPr>
                <w:rFonts w:ascii="Arial" w:hAnsi="Arial" w:cs="Arial"/>
                <w:sz w:val="20"/>
                <w:szCs w:val="20"/>
                <w:lang w:val="en-GB"/>
              </w:rPr>
              <w:t>The assessment is c</w:t>
            </w:r>
            <w:r w:rsidR="00D66A68" w:rsidRPr="009B39EC">
              <w:rPr>
                <w:rFonts w:ascii="Arial" w:hAnsi="Arial" w:cs="Arial"/>
                <w:sz w:val="20"/>
                <w:szCs w:val="20"/>
                <w:lang w:val="en-GB"/>
              </w:rPr>
              <w:t>arried out</w:t>
            </w:r>
            <w:r w:rsidR="008445B3" w:rsidRPr="009B39EC">
              <w:rPr>
                <w:rFonts w:ascii="Arial" w:hAnsi="Arial" w:cs="Arial"/>
                <w:sz w:val="20"/>
                <w:szCs w:val="20"/>
                <w:lang w:val="en-GB"/>
              </w:rPr>
              <w:t xml:space="preserve"> in collaboration with the victim and in coordination with the local coordinator, where </w:t>
            </w:r>
            <w:r w:rsidR="00014722" w:rsidRPr="009B39EC">
              <w:rPr>
                <w:rFonts w:ascii="Arial" w:hAnsi="Arial" w:cs="Arial"/>
                <w:sz w:val="20"/>
                <w:szCs w:val="20"/>
                <w:lang w:val="en-GB"/>
              </w:rPr>
              <w:t xml:space="preserve">it is assessed that </w:t>
            </w:r>
            <w:r w:rsidR="008445B3" w:rsidRPr="009B39EC">
              <w:rPr>
                <w:rFonts w:ascii="Arial" w:hAnsi="Arial" w:cs="Arial"/>
                <w:sz w:val="20"/>
                <w:szCs w:val="20"/>
                <w:lang w:val="en-GB"/>
              </w:rPr>
              <w:t xml:space="preserve">the victim </w:t>
            </w:r>
            <w:r w:rsidR="00014722" w:rsidRPr="009B39EC">
              <w:rPr>
                <w:rFonts w:ascii="Arial" w:hAnsi="Arial" w:cs="Arial"/>
                <w:sz w:val="20"/>
                <w:szCs w:val="20"/>
                <w:lang w:val="en-GB"/>
              </w:rPr>
              <w:t xml:space="preserve">will need </w:t>
            </w:r>
            <w:r w:rsidR="008445B3" w:rsidRPr="009B39EC">
              <w:rPr>
                <w:rFonts w:ascii="Arial" w:hAnsi="Arial" w:cs="Arial"/>
                <w:sz w:val="20"/>
                <w:szCs w:val="20"/>
                <w:lang w:val="en-GB"/>
              </w:rPr>
              <w:t xml:space="preserve">further </w:t>
            </w:r>
            <w:r w:rsidR="00014722" w:rsidRPr="009B39EC">
              <w:rPr>
                <w:rFonts w:ascii="Arial" w:hAnsi="Arial" w:cs="Arial"/>
                <w:sz w:val="20"/>
                <w:szCs w:val="20"/>
                <w:lang w:val="en-GB"/>
              </w:rPr>
              <w:t xml:space="preserve">support </w:t>
            </w:r>
            <w:r w:rsidR="008445B3" w:rsidRPr="009B39EC">
              <w:rPr>
                <w:rFonts w:ascii="Arial" w:hAnsi="Arial" w:cs="Arial"/>
                <w:sz w:val="20"/>
                <w:szCs w:val="20"/>
                <w:lang w:val="en-GB"/>
              </w:rPr>
              <w:t>after leaving the LILIUM Centre</w:t>
            </w:r>
            <w:r w:rsidR="007D20AE" w:rsidRPr="009B39EC">
              <w:rPr>
                <w:rFonts w:ascii="Arial" w:hAnsi="Arial" w:cs="Arial"/>
                <w:sz w:val="20"/>
                <w:szCs w:val="20"/>
                <w:lang w:val="en-GB"/>
              </w:rPr>
              <w:t xml:space="preserve">. </w:t>
            </w:r>
            <w:r w:rsidR="008445B3" w:rsidRPr="009B39EC">
              <w:rPr>
                <w:rFonts w:ascii="Arial" w:hAnsi="Arial" w:cs="Arial"/>
                <w:sz w:val="20"/>
                <w:szCs w:val="20"/>
                <w:lang w:val="en-GB"/>
              </w:rPr>
              <w:t>Where an application for Protection Order is made, or where the victim intends to seek damages in a criminal or civil court, the case assessment is one piece of evidence that is added to the rest of the evidence</w:t>
            </w:r>
            <w:r w:rsidR="007D20AE" w:rsidRPr="009B39EC">
              <w:rPr>
                <w:rFonts w:ascii="Arial" w:hAnsi="Arial" w:cs="Arial"/>
                <w:sz w:val="20"/>
                <w:szCs w:val="20"/>
                <w:lang w:val="en-GB"/>
              </w:rPr>
              <w:t>.</w:t>
            </w:r>
          </w:p>
          <w:p w14:paraId="29943AB6" w14:textId="77777777" w:rsidR="007D20AE" w:rsidRPr="009B39EC" w:rsidRDefault="007D20AE" w:rsidP="007D20AE">
            <w:pPr>
              <w:pStyle w:val="NoSpacing"/>
              <w:jc w:val="both"/>
              <w:rPr>
                <w:rFonts w:ascii="Arial" w:hAnsi="Arial" w:cs="Arial"/>
                <w:sz w:val="20"/>
                <w:szCs w:val="20"/>
                <w:lang w:val="en-GB"/>
              </w:rPr>
            </w:pPr>
          </w:p>
          <w:p w14:paraId="1951D76C" w14:textId="0E5B32B4" w:rsidR="007D20AE" w:rsidRPr="009B39EC" w:rsidRDefault="008445B3" w:rsidP="007D20AE">
            <w:pPr>
              <w:pStyle w:val="NoSpacing"/>
              <w:jc w:val="both"/>
              <w:rPr>
                <w:rFonts w:ascii="Arial" w:hAnsi="Arial" w:cs="Arial"/>
                <w:sz w:val="20"/>
                <w:szCs w:val="20"/>
                <w:lang w:val="en-GB"/>
              </w:rPr>
            </w:pPr>
            <w:r w:rsidRPr="009B39EC">
              <w:rPr>
                <w:rFonts w:ascii="Arial" w:hAnsi="Arial" w:cs="Arial"/>
                <w:sz w:val="20"/>
                <w:szCs w:val="20"/>
                <w:lang w:val="en-GB"/>
              </w:rPr>
              <w:t xml:space="preserve">At the Crisis Management Centre for Cases of Sexual Violence priority is given to </w:t>
            </w:r>
            <w:r w:rsidR="00014722" w:rsidRPr="009B39EC">
              <w:rPr>
                <w:rFonts w:ascii="Arial" w:hAnsi="Arial" w:cs="Arial"/>
                <w:sz w:val="20"/>
                <w:szCs w:val="20"/>
                <w:lang w:val="en-GB"/>
              </w:rPr>
              <w:t xml:space="preserve">the </w:t>
            </w:r>
            <w:r w:rsidRPr="009B39EC">
              <w:rPr>
                <w:rFonts w:ascii="Arial" w:hAnsi="Arial" w:cs="Arial"/>
                <w:sz w:val="20"/>
                <w:szCs w:val="20"/>
                <w:lang w:val="en-GB"/>
              </w:rPr>
              <w:t xml:space="preserve">health care assistance </w:t>
            </w:r>
            <w:r w:rsidR="00014722" w:rsidRPr="009B39EC">
              <w:rPr>
                <w:rFonts w:ascii="Arial" w:hAnsi="Arial" w:cs="Arial"/>
                <w:sz w:val="20"/>
                <w:szCs w:val="20"/>
                <w:lang w:val="en-GB"/>
              </w:rPr>
              <w:t xml:space="preserve">given to </w:t>
            </w:r>
            <w:r w:rsidRPr="009B39EC">
              <w:rPr>
                <w:rFonts w:ascii="Arial" w:hAnsi="Arial" w:cs="Arial"/>
                <w:sz w:val="20"/>
                <w:szCs w:val="20"/>
                <w:lang w:val="en-GB"/>
              </w:rPr>
              <w:t xml:space="preserve">the victim, because in cases of sexual violence the physical injuries can be serious and can </w:t>
            </w:r>
            <w:r w:rsidR="0090528C" w:rsidRPr="009B39EC">
              <w:rPr>
                <w:rFonts w:ascii="Arial" w:hAnsi="Arial" w:cs="Arial"/>
                <w:sz w:val="20"/>
                <w:szCs w:val="20"/>
                <w:lang w:val="en-GB"/>
              </w:rPr>
              <w:t xml:space="preserve">present a risk to the victim’s life. Thus, the safety, health and wellbeing of the victim are of paramount importance. The centre is located within hospital premises, which enables the provision of emergency health care services even </w:t>
            </w:r>
            <w:r w:rsidR="00014722" w:rsidRPr="009B39EC">
              <w:rPr>
                <w:rFonts w:ascii="Arial" w:hAnsi="Arial" w:cs="Arial"/>
                <w:sz w:val="20"/>
                <w:szCs w:val="20"/>
                <w:lang w:val="en-GB"/>
              </w:rPr>
              <w:t xml:space="preserve">in cases where </w:t>
            </w:r>
            <w:r w:rsidR="0090528C" w:rsidRPr="009B39EC">
              <w:rPr>
                <w:rFonts w:ascii="Arial" w:hAnsi="Arial" w:cs="Arial"/>
                <w:sz w:val="20"/>
                <w:szCs w:val="20"/>
                <w:lang w:val="en-GB"/>
              </w:rPr>
              <w:t>the victim presents with acute health problems, including injuries, head wounds, etc., which require emergency medical treatment</w:t>
            </w:r>
            <w:r w:rsidR="007D20AE" w:rsidRPr="009B39EC">
              <w:rPr>
                <w:rFonts w:ascii="Arial" w:hAnsi="Arial" w:cs="Arial"/>
                <w:sz w:val="20"/>
                <w:szCs w:val="20"/>
                <w:lang w:val="en-GB"/>
              </w:rPr>
              <w:t xml:space="preserve">. </w:t>
            </w:r>
          </w:p>
          <w:p w14:paraId="76BB836E" w14:textId="77777777" w:rsidR="007D20AE" w:rsidRPr="009B39EC" w:rsidRDefault="007D20AE" w:rsidP="007D20AE">
            <w:pPr>
              <w:pStyle w:val="NoSpacing"/>
              <w:jc w:val="both"/>
              <w:rPr>
                <w:rFonts w:ascii="Arial" w:hAnsi="Arial" w:cs="Arial"/>
                <w:sz w:val="20"/>
                <w:szCs w:val="20"/>
                <w:lang w:val="en-GB"/>
              </w:rPr>
            </w:pPr>
          </w:p>
          <w:p w14:paraId="2EB57CF4" w14:textId="54E09643" w:rsidR="007D20AE" w:rsidRPr="009B39EC" w:rsidRDefault="0090528C" w:rsidP="007D20AE">
            <w:pPr>
              <w:pStyle w:val="NoSpacing"/>
              <w:jc w:val="both"/>
              <w:rPr>
                <w:rFonts w:ascii="Arial" w:hAnsi="Arial" w:cs="Arial"/>
                <w:sz w:val="20"/>
                <w:szCs w:val="20"/>
                <w:lang w:val="en-GB"/>
              </w:rPr>
            </w:pPr>
            <w:r w:rsidRPr="009B39EC">
              <w:rPr>
                <w:rFonts w:ascii="Arial" w:hAnsi="Arial" w:cs="Arial"/>
                <w:sz w:val="20"/>
                <w:szCs w:val="20"/>
                <w:lang w:val="en-GB"/>
              </w:rPr>
              <w:t>Clinical forensic services</w:t>
            </w:r>
            <w:r w:rsidR="007D20AE" w:rsidRPr="009B39EC">
              <w:rPr>
                <w:rFonts w:ascii="Arial" w:hAnsi="Arial" w:cs="Arial"/>
                <w:sz w:val="20"/>
                <w:szCs w:val="20"/>
                <w:lang w:val="en-GB"/>
              </w:rPr>
              <w:t xml:space="preserve">. </w:t>
            </w:r>
            <w:r w:rsidR="00014722" w:rsidRPr="009B39EC">
              <w:rPr>
                <w:rFonts w:ascii="Arial" w:hAnsi="Arial" w:cs="Arial"/>
                <w:sz w:val="20"/>
                <w:szCs w:val="20"/>
                <w:lang w:val="en-GB"/>
              </w:rPr>
              <w:t xml:space="preserve">If </w:t>
            </w:r>
            <w:r w:rsidRPr="009B39EC">
              <w:rPr>
                <w:rFonts w:ascii="Arial" w:hAnsi="Arial" w:cs="Arial"/>
                <w:sz w:val="20"/>
                <w:szCs w:val="20"/>
                <w:lang w:val="en-GB"/>
              </w:rPr>
              <w:t xml:space="preserve">the sexual assault, sexual </w:t>
            </w:r>
            <w:proofErr w:type="gramStart"/>
            <w:r w:rsidRPr="009B39EC">
              <w:rPr>
                <w:rFonts w:ascii="Arial" w:hAnsi="Arial" w:cs="Arial"/>
                <w:sz w:val="20"/>
                <w:szCs w:val="20"/>
                <w:lang w:val="en-GB"/>
              </w:rPr>
              <w:t>violence</w:t>
            </w:r>
            <w:proofErr w:type="gramEnd"/>
            <w:r w:rsidRPr="009B39EC">
              <w:rPr>
                <w:rFonts w:ascii="Arial" w:hAnsi="Arial" w:cs="Arial"/>
                <w:sz w:val="20"/>
                <w:szCs w:val="20"/>
                <w:lang w:val="en-GB"/>
              </w:rPr>
              <w:t xml:space="preserve"> or rape which is reported within three days from the incident, clinical forensic services such as: evidence collection, taking of statement, initiation of criminal justice proceedings are decisive in the process of victim support and punishment of the perpetrator. Delays in access to this service may lead </w:t>
            </w:r>
            <w:r w:rsidR="00264A56" w:rsidRPr="009B39EC">
              <w:rPr>
                <w:rFonts w:ascii="Arial" w:hAnsi="Arial" w:cs="Arial"/>
                <w:sz w:val="20"/>
                <w:szCs w:val="20"/>
                <w:lang w:val="en-GB"/>
              </w:rPr>
              <w:t>to</w:t>
            </w:r>
            <w:r w:rsidRPr="009B39EC">
              <w:rPr>
                <w:rFonts w:ascii="Arial" w:hAnsi="Arial" w:cs="Arial"/>
                <w:sz w:val="20"/>
                <w:szCs w:val="20"/>
                <w:lang w:val="en-GB"/>
              </w:rPr>
              <w:t xml:space="preserve"> </w:t>
            </w:r>
            <w:r w:rsidR="00014722" w:rsidRPr="009B39EC">
              <w:rPr>
                <w:rFonts w:ascii="Arial" w:hAnsi="Arial" w:cs="Arial"/>
                <w:sz w:val="20"/>
                <w:szCs w:val="20"/>
                <w:lang w:val="en-GB"/>
              </w:rPr>
              <w:t>alterations in the</w:t>
            </w:r>
            <w:r w:rsidRPr="009B39EC">
              <w:rPr>
                <w:rFonts w:ascii="Arial" w:hAnsi="Arial" w:cs="Arial"/>
                <w:sz w:val="20"/>
                <w:szCs w:val="20"/>
                <w:lang w:val="en-GB"/>
              </w:rPr>
              <w:t xml:space="preserve"> physical evidence </w:t>
            </w:r>
            <w:r w:rsidR="007D20AE" w:rsidRPr="009B39EC">
              <w:rPr>
                <w:rFonts w:ascii="Arial" w:hAnsi="Arial" w:cs="Arial"/>
                <w:sz w:val="20"/>
                <w:szCs w:val="20"/>
                <w:lang w:val="en-GB"/>
              </w:rPr>
              <w:t>(</w:t>
            </w:r>
            <w:r w:rsidR="00264A56" w:rsidRPr="009B39EC">
              <w:rPr>
                <w:rFonts w:ascii="Arial" w:hAnsi="Arial" w:cs="Arial"/>
                <w:sz w:val="20"/>
                <w:szCs w:val="20"/>
                <w:lang w:val="en-GB"/>
              </w:rPr>
              <w:t>e.g.,</w:t>
            </w:r>
            <w:r w:rsidRPr="009B39EC">
              <w:rPr>
                <w:rFonts w:ascii="Arial" w:hAnsi="Arial" w:cs="Arial"/>
                <w:sz w:val="20"/>
                <w:szCs w:val="20"/>
                <w:lang w:val="en-GB"/>
              </w:rPr>
              <w:t xml:space="preserve"> healing of wounds</w:t>
            </w:r>
            <w:r w:rsidR="007D20AE" w:rsidRPr="009B39EC">
              <w:rPr>
                <w:rFonts w:ascii="Arial" w:hAnsi="Arial" w:cs="Arial"/>
                <w:sz w:val="20"/>
                <w:szCs w:val="20"/>
                <w:lang w:val="en-GB"/>
              </w:rPr>
              <w:t xml:space="preserve">); </w:t>
            </w:r>
            <w:r w:rsidRPr="009B39EC">
              <w:rPr>
                <w:rFonts w:ascii="Arial" w:hAnsi="Arial" w:cs="Arial"/>
                <w:sz w:val="20"/>
                <w:szCs w:val="20"/>
                <w:lang w:val="en-GB"/>
              </w:rPr>
              <w:t>loss of forensic material</w:t>
            </w:r>
            <w:r w:rsidR="007D20AE" w:rsidRPr="009B39EC">
              <w:rPr>
                <w:rFonts w:ascii="Arial" w:hAnsi="Arial" w:cs="Arial"/>
                <w:sz w:val="20"/>
                <w:szCs w:val="20"/>
                <w:lang w:val="en-GB"/>
              </w:rPr>
              <w:t xml:space="preserve"> (</w:t>
            </w:r>
            <w:r w:rsidR="00264A56" w:rsidRPr="009B39EC">
              <w:rPr>
                <w:rFonts w:ascii="Arial" w:hAnsi="Arial" w:cs="Arial"/>
                <w:sz w:val="20"/>
                <w:szCs w:val="20"/>
                <w:lang w:val="en-GB"/>
              </w:rPr>
              <w:t>e.g.,</w:t>
            </w:r>
            <w:r w:rsidRPr="009B39EC">
              <w:rPr>
                <w:rFonts w:ascii="Arial" w:hAnsi="Arial" w:cs="Arial"/>
                <w:sz w:val="20"/>
                <w:szCs w:val="20"/>
                <w:lang w:val="en-GB"/>
              </w:rPr>
              <w:t xml:space="preserve"> proof of contact with the assailant, including blood and sperm</w:t>
            </w:r>
            <w:r w:rsidR="007D20AE" w:rsidRPr="009B39EC">
              <w:rPr>
                <w:rFonts w:ascii="Arial" w:hAnsi="Arial" w:cs="Arial"/>
                <w:sz w:val="20"/>
                <w:szCs w:val="20"/>
                <w:lang w:val="en-GB"/>
              </w:rPr>
              <w:t>), et</w:t>
            </w:r>
            <w:r w:rsidRPr="009B39EC">
              <w:rPr>
                <w:rFonts w:ascii="Arial" w:hAnsi="Arial" w:cs="Arial"/>
                <w:sz w:val="20"/>
                <w:szCs w:val="20"/>
                <w:lang w:val="en-GB"/>
              </w:rPr>
              <w:t>c</w:t>
            </w:r>
            <w:r w:rsidR="007D20AE" w:rsidRPr="009B39EC">
              <w:rPr>
                <w:rFonts w:ascii="Arial" w:hAnsi="Arial" w:cs="Arial"/>
                <w:sz w:val="20"/>
                <w:szCs w:val="20"/>
                <w:lang w:val="en-GB"/>
              </w:rPr>
              <w:t xml:space="preserve">. </w:t>
            </w:r>
          </w:p>
          <w:p w14:paraId="03877762" w14:textId="77777777" w:rsidR="007D20AE" w:rsidRPr="009B39EC" w:rsidRDefault="007D20AE" w:rsidP="007D20AE">
            <w:pPr>
              <w:pStyle w:val="NoSpacing"/>
              <w:jc w:val="both"/>
              <w:rPr>
                <w:rFonts w:ascii="Arial" w:hAnsi="Arial" w:cs="Arial"/>
                <w:sz w:val="20"/>
                <w:szCs w:val="20"/>
                <w:lang w:val="en-GB"/>
              </w:rPr>
            </w:pPr>
          </w:p>
          <w:p w14:paraId="7EFB9CCD" w14:textId="082706E0" w:rsidR="007D20AE" w:rsidRPr="009B39EC" w:rsidRDefault="0090528C" w:rsidP="007D20AE">
            <w:pPr>
              <w:pStyle w:val="NoSpacing"/>
              <w:jc w:val="both"/>
              <w:rPr>
                <w:rFonts w:ascii="Arial" w:hAnsi="Arial" w:cs="Arial"/>
                <w:sz w:val="20"/>
                <w:szCs w:val="20"/>
                <w:lang w:val="en-GB"/>
              </w:rPr>
            </w:pPr>
            <w:r w:rsidRPr="009B39EC">
              <w:rPr>
                <w:rFonts w:ascii="Arial" w:hAnsi="Arial" w:cs="Arial"/>
                <w:sz w:val="20"/>
                <w:szCs w:val="20"/>
                <w:lang w:val="en-GB"/>
              </w:rPr>
              <w:t xml:space="preserve">The psychological service aims to restore confidence and the feeling of safety, to help the victim overcome the </w:t>
            </w:r>
            <w:r w:rsidR="00F84E64" w:rsidRPr="009B39EC">
              <w:rPr>
                <w:rFonts w:ascii="Arial" w:hAnsi="Arial" w:cs="Arial"/>
                <w:sz w:val="20"/>
                <w:szCs w:val="20"/>
                <w:lang w:val="en-GB"/>
              </w:rPr>
              <w:t xml:space="preserve">trauma and the effects of the sexual </w:t>
            </w:r>
            <w:r w:rsidR="00264A56" w:rsidRPr="009B39EC">
              <w:rPr>
                <w:rFonts w:ascii="Arial" w:hAnsi="Arial" w:cs="Arial"/>
                <w:sz w:val="20"/>
                <w:szCs w:val="20"/>
                <w:lang w:val="en-GB"/>
              </w:rPr>
              <w:t>assault and</w:t>
            </w:r>
            <w:r w:rsidR="00F84E64" w:rsidRPr="009B39EC">
              <w:rPr>
                <w:rFonts w:ascii="Arial" w:hAnsi="Arial" w:cs="Arial"/>
                <w:sz w:val="20"/>
                <w:szCs w:val="20"/>
                <w:lang w:val="en-GB"/>
              </w:rPr>
              <w:t xml:space="preserve"> restore the emotional and functional balance of the individual. This service is offered during the time of the victim’s stay at LILIUM, by a clinical psychologist who has a collaboration agreement with the Centre. The clinical psychologist is experienced in working with victims of sexual violence, children, </w:t>
            </w:r>
            <w:proofErr w:type="gramStart"/>
            <w:r w:rsidR="00F84E64" w:rsidRPr="009B39EC">
              <w:rPr>
                <w:rFonts w:ascii="Arial" w:hAnsi="Arial" w:cs="Arial"/>
                <w:sz w:val="20"/>
                <w:szCs w:val="20"/>
                <w:lang w:val="en-GB"/>
              </w:rPr>
              <w:t>women</w:t>
            </w:r>
            <w:proofErr w:type="gramEnd"/>
            <w:r w:rsidR="00F84E64" w:rsidRPr="009B39EC">
              <w:rPr>
                <w:rFonts w:ascii="Arial" w:hAnsi="Arial" w:cs="Arial"/>
                <w:sz w:val="20"/>
                <w:szCs w:val="20"/>
                <w:lang w:val="en-GB"/>
              </w:rPr>
              <w:t xml:space="preserve"> and men and abides by the code of professional conduct in the field</w:t>
            </w:r>
            <w:r w:rsidR="007D20AE" w:rsidRPr="009B39EC">
              <w:rPr>
                <w:rFonts w:ascii="Arial" w:hAnsi="Arial" w:cs="Arial"/>
                <w:sz w:val="20"/>
                <w:szCs w:val="20"/>
                <w:lang w:val="en-GB"/>
              </w:rPr>
              <w:t>.</w:t>
            </w:r>
          </w:p>
          <w:p w14:paraId="15BB5924" w14:textId="77777777" w:rsidR="007D20AE" w:rsidRPr="009B39EC" w:rsidRDefault="007D20AE" w:rsidP="007D20AE">
            <w:pPr>
              <w:pStyle w:val="NoSpacing"/>
              <w:jc w:val="both"/>
              <w:rPr>
                <w:rFonts w:ascii="Arial" w:hAnsi="Arial" w:cs="Arial"/>
                <w:sz w:val="20"/>
                <w:szCs w:val="20"/>
                <w:lang w:val="en-GB"/>
              </w:rPr>
            </w:pPr>
          </w:p>
          <w:p w14:paraId="4F576683" w14:textId="23D0CA48" w:rsidR="007D20AE" w:rsidRPr="009B39EC" w:rsidRDefault="00F84E64" w:rsidP="007D20AE">
            <w:pPr>
              <w:pStyle w:val="NoSpacing"/>
              <w:jc w:val="both"/>
              <w:rPr>
                <w:rFonts w:ascii="Arial" w:hAnsi="Arial" w:cs="Arial"/>
                <w:sz w:val="20"/>
                <w:szCs w:val="20"/>
                <w:lang w:val="en-GB"/>
              </w:rPr>
            </w:pPr>
            <w:r w:rsidRPr="009B39EC">
              <w:rPr>
                <w:rFonts w:ascii="Arial" w:hAnsi="Arial" w:cs="Arial"/>
                <w:sz w:val="20"/>
                <w:szCs w:val="20"/>
                <w:lang w:val="en-GB"/>
              </w:rPr>
              <w:t>Legal services</w:t>
            </w:r>
            <w:r w:rsidR="007D20AE" w:rsidRPr="009B39EC">
              <w:rPr>
                <w:rFonts w:ascii="Arial" w:hAnsi="Arial" w:cs="Arial"/>
                <w:sz w:val="20"/>
                <w:szCs w:val="20"/>
                <w:lang w:val="en-GB"/>
              </w:rPr>
              <w:t xml:space="preserve">. </w:t>
            </w:r>
            <w:r w:rsidR="00846A69" w:rsidRPr="009B39EC">
              <w:rPr>
                <w:rFonts w:ascii="Arial" w:hAnsi="Arial" w:cs="Arial"/>
                <w:sz w:val="20"/>
                <w:szCs w:val="20"/>
                <w:lang w:val="en-GB"/>
              </w:rPr>
              <w:t xml:space="preserve">During their stay at the centre, victims of sexual violence are offered legal assistance by legal professionals who collaborate with the centre or by another organisation providing legal assistance, such as specialist NPOs, legal clinics operating at higher education institutions, lawyers admitted to the list of counsel approved by the Bar Association, etc. </w:t>
            </w:r>
            <w:r w:rsidRPr="009B39EC">
              <w:rPr>
                <w:rFonts w:ascii="Arial" w:hAnsi="Arial" w:cs="Arial"/>
                <w:sz w:val="20"/>
                <w:szCs w:val="20"/>
                <w:lang w:val="en-GB"/>
              </w:rPr>
              <w:t>The legal services offered are professional, high quality, effective and efficient services. Legal aid is provided, irrespective of the income or property owned by the victims/survivors, as victims of sexual violence fall in the special categories of persons entitled to receive legal aid</w:t>
            </w:r>
            <w:r w:rsidR="007D20AE" w:rsidRPr="009B39EC">
              <w:rPr>
                <w:rFonts w:ascii="Arial" w:hAnsi="Arial" w:cs="Arial"/>
                <w:sz w:val="20"/>
                <w:szCs w:val="20"/>
                <w:lang w:val="en-GB"/>
              </w:rPr>
              <w:t xml:space="preserve">. </w:t>
            </w:r>
          </w:p>
          <w:p w14:paraId="67047E6A" w14:textId="77777777" w:rsidR="007D20AE" w:rsidRPr="009B39EC" w:rsidRDefault="007D20AE" w:rsidP="007D20AE">
            <w:pPr>
              <w:pStyle w:val="NoSpacing"/>
              <w:jc w:val="both"/>
              <w:rPr>
                <w:rFonts w:ascii="Arial" w:hAnsi="Arial" w:cs="Arial"/>
                <w:sz w:val="20"/>
                <w:szCs w:val="20"/>
                <w:lang w:val="en-GB"/>
              </w:rPr>
            </w:pPr>
          </w:p>
          <w:p w14:paraId="6E7DDC50" w14:textId="0A9732BC"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Vi</w:t>
            </w:r>
            <w:r w:rsidR="00F84E64" w:rsidRPr="009B39EC">
              <w:rPr>
                <w:rFonts w:ascii="Arial" w:hAnsi="Arial" w:cs="Arial"/>
                <w:sz w:val="20"/>
                <w:szCs w:val="20"/>
                <w:lang w:val="en-GB"/>
              </w:rPr>
              <w:t xml:space="preserve">ctims of sexual violence are informed of their legal rights </w:t>
            </w:r>
            <w:r w:rsidR="005C330B" w:rsidRPr="009B39EC">
              <w:rPr>
                <w:rFonts w:ascii="Arial" w:hAnsi="Arial" w:cs="Arial"/>
                <w:sz w:val="20"/>
                <w:szCs w:val="20"/>
                <w:lang w:val="en-GB"/>
              </w:rPr>
              <w:t xml:space="preserve">pursuant </w:t>
            </w:r>
            <w:r w:rsidR="00254542" w:rsidRPr="009B39EC">
              <w:rPr>
                <w:rFonts w:ascii="Arial" w:hAnsi="Arial" w:cs="Arial"/>
                <w:sz w:val="20"/>
                <w:szCs w:val="20"/>
                <w:lang w:val="en-GB"/>
              </w:rPr>
              <w:t xml:space="preserve">to </w:t>
            </w:r>
            <w:r w:rsidR="005C330B" w:rsidRPr="009B39EC">
              <w:rPr>
                <w:rFonts w:ascii="Arial" w:hAnsi="Arial" w:cs="Arial"/>
                <w:sz w:val="20"/>
                <w:szCs w:val="20"/>
                <w:lang w:val="en-GB"/>
              </w:rPr>
              <w:t xml:space="preserve">both </w:t>
            </w:r>
            <w:r w:rsidR="00F84E64" w:rsidRPr="009B39EC">
              <w:rPr>
                <w:rFonts w:ascii="Arial" w:hAnsi="Arial" w:cs="Arial"/>
                <w:sz w:val="20"/>
                <w:szCs w:val="20"/>
                <w:lang w:val="en-GB"/>
              </w:rPr>
              <w:t xml:space="preserve">the administrative and civil law against </w:t>
            </w:r>
            <w:r w:rsidR="00264A56" w:rsidRPr="009B39EC">
              <w:rPr>
                <w:rFonts w:ascii="Arial" w:hAnsi="Arial" w:cs="Arial"/>
                <w:sz w:val="20"/>
                <w:szCs w:val="20"/>
                <w:lang w:val="en-GB"/>
              </w:rPr>
              <w:t>all</w:t>
            </w:r>
            <w:r w:rsidR="00F84E64" w:rsidRPr="009B39EC">
              <w:rPr>
                <w:rFonts w:ascii="Arial" w:hAnsi="Arial" w:cs="Arial"/>
                <w:sz w:val="20"/>
                <w:szCs w:val="20"/>
                <w:lang w:val="en-GB"/>
              </w:rPr>
              <w:t xml:space="preserve"> forms of </w:t>
            </w:r>
            <w:r w:rsidR="00264A56" w:rsidRPr="009B39EC">
              <w:rPr>
                <w:rFonts w:ascii="Arial" w:hAnsi="Arial" w:cs="Arial"/>
                <w:sz w:val="20"/>
                <w:szCs w:val="20"/>
                <w:lang w:val="en-GB"/>
              </w:rPr>
              <w:t>gender-based</w:t>
            </w:r>
            <w:r w:rsidR="00F84E64" w:rsidRPr="009B39EC">
              <w:rPr>
                <w:rFonts w:ascii="Arial" w:hAnsi="Arial" w:cs="Arial"/>
                <w:sz w:val="20"/>
                <w:szCs w:val="20"/>
                <w:lang w:val="en-GB"/>
              </w:rPr>
              <w:t xml:space="preserve"> violence</w:t>
            </w:r>
            <w:r w:rsidR="005C330B" w:rsidRPr="009B39EC">
              <w:rPr>
                <w:rFonts w:ascii="Arial" w:hAnsi="Arial" w:cs="Arial"/>
                <w:sz w:val="20"/>
                <w:szCs w:val="20"/>
                <w:lang w:val="en-GB"/>
              </w:rPr>
              <w:t xml:space="preserve"> and the criminal procedure code. It is the duty of the manager of the centre to put the victim in contact with a lawyer</w:t>
            </w:r>
            <w:r w:rsidRPr="009B39EC">
              <w:rPr>
                <w:rFonts w:ascii="Arial" w:hAnsi="Arial" w:cs="Arial"/>
                <w:sz w:val="20"/>
                <w:szCs w:val="20"/>
                <w:lang w:val="en-GB"/>
              </w:rPr>
              <w:t>.</w:t>
            </w:r>
          </w:p>
          <w:p w14:paraId="6D79CCF1" w14:textId="77777777" w:rsidR="007D20AE" w:rsidRPr="009B39EC" w:rsidRDefault="007D20AE" w:rsidP="007D20AE">
            <w:pPr>
              <w:pStyle w:val="NoSpacing"/>
              <w:jc w:val="both"/>
              <w:rPr>
                <w:rFonts w:ascii="Arial" w:hAnsi="Arial" w:cs="Arial"/>
                <w:sz w:val="20"/>
                <w:szCs w:val="20"/>
                <w:lang w:val="en-GB"/>
              </w:rPr>
            </w:pPr>
          </w:p>
          <w:p w14:paraId="74B81855" w14:textId="3F8A8E8E" w:rsidR="007D20AE" w:rsidRPr="009B39EC" w:rsidRDefault="005C330B" w:rsidP="007D20AE">
            <w:pPr>
              <w:pStyle w:val="NoSpacing"/>
              <w:jc w:val="both"/>
              <w:rPr>
                <w:rFonts w:ascii="Arial" w:hAnsi="Arial" w:cs="Arial"/>
                <w:sz w:val="20"/>
                <w:szCs w:val="20"/>
                <w:lang w:val="en-GB"/>
              </w:rPr>
            </w:pPr>
            <w:r w:rsidRPr="009B39EC">
              <w:rPr>
                <w:rFonts w:ascii="Arial" w:hAnsi="Arial" w:cs="Arial"/>
                <w:sz w:val="20"/>
                <w:szCs w:val="20"/>
                <w:lang w:val="en-GB"/>
              </w:rPr>
              <w:t>Support with clothing, food, etc</w:t>
            </w:r>
            <w:r w:rsidR="007D20AE" w:rsidRPr="009B39EC">
              <w:rPr>
                <w:rFonts w:ascii="Arial" w:hAnsi="Arial" w:cs="Arial"/>
                <w:sz w:val="20"/>
                <w:szCs w:val="20"/>
                <w:lang w:val="en-GB"/>
              </w:rPr>
              <w:t xml:space="preserve">. </w:t>
            </w:r>
            <w:r w:rsidRPr="009B39EC">
              <w:rPr>
                <w:rFonts w:ascii="Arial" w:hAnsi="Arial" w:cs="Arial"/>
                <w:sz w:val="20"/>
                <w:szCs w:val="20"/>
                <w:lang w:val="en-GB"/>
              </w:rPr>
              <w:t xml:space="preserve">Where appropriate, victims of sexual abuse are supported with food, </w:t>
            </w:r>
            <w:proofErr w:type="gramStart"/>
            <w:r w:rsidRPr="009B39EC">
              <w:rPr>
                <w:rFonts w:ascii="Arial" w:hAnsi="Arial" w:cs="Arial"/>
                <w:sz w:val="20"/>
                <w:szCs w:val="20"/>
                <w:lang w:val="en-GB"/>
              </w:rPr>
              <w:t>clothing</w:t>
            </w:r>
            <w:proofErr w:type="gramEnd"/>
            <w:r w:rsidRPr="009B39EC">
              <w:rPr>
                <w:rFonts w:ascii="Arial" w:hAnsi="Arial" w:cs="Arial"/>
                <w:sz w:val="20"/>
                <w:szCs w:val="20"/>
                <w:lang w:val="en-GB"/>
              </w:rPr>
              <w:t xml:space="preserve"> and medication.</w:t>
            </w:r>
            <w:r w:rsidR="007D20AE" w:rsidRPr="009B39EC">
              <w:rPr>
                <w:rFonts w:ascii="Arial" w:hAnsi="Arial" w:cs="Arial"/>
                <w:sz w:val="20"/>
                <w:szCs w:val="20"/>
                <w:lang w:val="en-GB"/>
              </w:rPr>
              <w:t xml:space="preserve"> </w:t>
            </w:r>
            <w:r w:rsidR="007C3622" w:rsidRPr="009B39EC">
              <w:rPr>
                <w:rFonts w:ascii="Arial" w:hAnsi="Arial" w:cs="Arial"/>
                <w:sz w:val="20"/>
                <w:szCs w:val="20"/>
                <w:lang w:val="en-GB"/>
              </w:rPr>
              <w:t xml:space="preserve">The Centre can </w:t>
            </w:r>
            <w:r w:rsidR="00014722" w:rsidRPr="009B39EC">
              <w:rPr>
                <w:rFonts w:ascii="Arial" w:hAnsi="Arial" w:cs="Arial"/>
                <w:sz w:val="20"/>
                <w:szCs w:val="20"/>
                <w:lang w:val="en-GB"/>
              </w:rPr>
              <w:t xml:space="preserve">also dispense emergency </w:t>
            </w:r>
            <w:r w:rsidR="007C3622" w:rsidRPr="009B39EC">
              <w:rPr>
                <w:rFonts w:ascii="Arial" w:hAnsi="Arial" w:cs="Arial"/>
                <w:sz w:val="20"/>
                <w:szCs w:val="20"/>
                <w:lang w:val="en-GB"/>
              </w:rPr>
              <w:t>medication due to it being part of and located within the premises of a health care institution</w:t>
            </w:r>
            <w:r w:rsidR="00014722" w:rsidRPr="009B39EC">
              <w:rPr>
                <w:rFonts w:ascii="Arial" w:hAnsi="Arial" w:cs="Arial"/>
                <w:sz w:val="20"/>
                <w:szCs w:val="20"/>
                <w:lang w:val="en-GB"/>
              </w:rPr>
              <w:t xml:space="preserve">; while food and clothing are provided </w:t>
            </w:r>
            <w:r w:rsidR="007C3622" w:rsidRPr="009B39EC">
              <w:rPr>
                <w:rFonts w:ascii="Arial" w:hAnsi="Arial" w:cs="Arial"/>
                <w:sz w:val="20"/>
                <w:szCs w:val="20"/>
                <w:lang w:val="en-GB"/>
              </w:rPr>
              <w:t xml:space="preserve">as part of the general service package </w:t>
            </w:r>
            <w:r w:rsidR="00014722" w:rsidRPr="009B39EC">
              <w:rPr>
                <w:rFonts w:ascii="Arial" w:hAnsi="Arial" w:cs="Arial"/>
                <w:sz w:val="20"/>
                <w:szCs w:val="20"/>
                <w:lang w:val="en-GB"/>
              </w:rPr>
              <w:t>provided</w:t>
            </w:r>
            <w:r w:rsidR="007C3622" w:rsidRPr="009B39EC">
              <w:rPr>
                <w:rFonts w:ascii="Arial" w:hAnsi="Arial" w:cs="Arial"/>
                <w:sz w:val="20"/>
                <w:szCs w:val="20"/>
                <w:lang w:val="en-GB"/>
              </w:rPr>
              <w:t xml:space="preserve"> by the centre. The provision of medium-term and long-term services after the victim’s discharge from LILIUM Centre, are the responsibility of the members of the Coordinated Referral Mechanism</w:t>
            </w:r>
            <w:r w:rsidR="007D20AE" w:rsidRPr="009B39EC">
              <w:rPr>
                <w:rFonts w:ascii="Arial" w:hAnsi="Arial" w:cs="Arial"/>
                <w:sz w:val="20"/>
                <w:szCs w:val="20"/>
                <w:lang w:val="en-GB"/>
              </w:rPr>
              <w:t xml:space="preserve">. </w:t>
            </w:r>
          </w:p>
          <w:p w14:paraId="558A6C8A" w14:textId="77777777" w:rsidR="007D20AE" w:rsidRPr="009B39EC" w:rsidRDefault="007D20AE" w:rsidP="007D20AE">
            <w:pPr>
              <w:pStyle w:val="NoSpacing"/>
              <w:jc w:val="both"/>
              <w:rPr>
                <w:rFonts w:ascii="Arial" w:hAnsi="Arial" w:cs="Arial"/>
                <w:sz w:val="20"/>
                <w:szCs w:val="20"/>
                <w:lang w:val="en-GB"/>
              </w:rPr>
            </w:pPr>
          </w:p>
          <w:p w14:paraId="0E8B3899" w14:textId="3C66B3BB" w:rsidR="007D20AE" w:rsidRPr="009B39EC" w:rsidRDefault="007C3622" w:rsidP="007D20AE">
            <w:pPr>
              <w:pStyle w:val="NoSpacing"/>
              <w:jc w:val="both"/>
              <w:rPr>
                <w:rFonts w:ascii="Arial" w:hAnsi="Arial" w:cs="Arial"/>
                <w:sz w:val="20"/>
                <w:szCs w:val="20"/>
                <w:lang w:val="en-GB"/>
              </w:rPr>
            </w:pPr>
            <w:r w:rsidRPr="009B39EC">
              <w:rPr>
                <w:rFonts w:ascii="Arial" w:hAnsi="Arial" w:cs="Arial"/>
                <w:sz w:val="20"/>
                <w:szCs w:val="20"/>
                <w:lang w:val="en-GB"/>
              </w:rPr>
              <w:lastRenderedPageBreak/>
              <w:t>Other services: The above-mentioned services are all provided in a situation of emergency and for a period between 24 and 72 hours only. The</w:t>
            </w:r>
            <w:r w:rsidR="00240669" w:rsidRPr="009B39EC">
              <w:rPr>
                <w:rFonts w:ascii="Arial" w:hAnsi="Arial" w:cs="Arial"/>
                <w:sz w:val="20"/>
                <w:szCs w:val="20"/>
                <w:lang w:val="en-GB"/>
              </w:rPr>
              <w:t xml:space="preserve"> members of the local CRM are notified of the victim’s </w:t>
            </w:r>
            <w:r w:rsidRPr="009B39EC">
              <w:rPr>
                <w:rFonts w:ascii="Arial" w:hAnsi="Arial" w:cs="Arial"/>
                <w:sz w:val="20"/>
                <w:szCs w:val="20"/>
                <w:lang w:val="en-GB"/>
              </w:rPr>
              <w:t xml:space="preserve">discharge from the centre </w:t>
            </w:r>
            <w:r w:rsidR="00240669" w:rsidRPr="009B39EC">
              <w:rPr>
                <w:rFonts w:ascii="Arial" w:hAnsi="Arial" w:cs="Arial"/>
                <w:sz w:val="20"/>
                <w:szCs w:val="20"/>
                <w:lang w:val="en-GB"/>
              </w:rPr>
              <w:t xml:space="preserve">and contact is made with the local coordinator for domestic violence issues so that the case is followed up by them. The victim treated at the Centre may choose to return to her family. In such a case, the LILIUM Centre collaborates with the CRM for the provision of medium-term and long-term services. </w:t>
            </w:r>
            <w:r w:rsidR="00264A56" w:rsidRPr="009B39EC">
              <w:rPr>
                <w:rFonts w:ascii="Arial" w:hAnsi="Arial" w:cs="Arial"/>
                <w:sz w:val="20"/>
                <w:szCs w:val="20"/>
                <w:lang w:val="en-GB"/>
              </w:rPr>
              <w:t xml:space="preserve">If the victim’s decision is not to </w:t>
            </w:r>
            <w:r w:rsidR="00014722" w:rsidRPr="009B39EC">
              <w:rPr>
                <w:rFonts w:ascii="Arial" w:hAnsi="Arial" w:cs="Arial"/>
                <w:sz w:val="20"/>
                <w:szCs w:val="20"/>
                <w:lang w:val="en-GB"/>
              </w:rPr>
              <w:t>go back</w:t>
            </w:r>
            <w:r w:rsidR="00264A56" w:rsidRPr="009B39EC">
              <w:rPr>
                <w:rFonts w:ascii="Arial" w:hAnsi="Arial" w:cs="Arial"/>
                <w:sz w:val="20"/>
                <w:szCs w:val="20"/>
                <w:lang w:val="en-GB"/>
              </w:rPr>
              <w:t xml:space="preserve"> home, medium- and long-term services such as referrals to shelters for survivors of violence, psychosocial support, vocational training, employment, childcare, return of children to school, etc., can only be realised through a close cooperation between the Centre and the CRM, thus ensuring long-term support through cooperation with specialised public and non-public institutions. </w:t>
            </w:r>
            <w:r w:rsidR="00240669" w:rsidRPr="009B39EC">
              <w:rPr>
                <w:rFonts w:ascii="Arial" w:hAnsi="Arial" w:cs="Arial"/>
                <w:sz w:val="20"/>
                <w:szCs w:val="20"/>
                <w:lang w:val="en-GB"/>
              </w:rPr>
              <w:t>In any case, it is important to note that the assistance and support provided to the victim is not dependent on her willingness to report the abuser or whether the victim has made an application for a Protection Order of Emergency Protection Order. The Centre retains and protects the victims’ details pursuant to the legislation in force</w:t>
            </w:r>
            <w:r w:rsidR="007D20AE" w:rsidRPr="009B39EC">
              <w:rPr>
                <w:rFonts w:ascii="Arial" w:hAnsi="Arial" w:cs="Arial"/>
                <w:sz w:val="20"/>
                <w:szCs w:val="20"/>
                <w:lang w:val="en-GB"/>
              </w:rPr>
              <w:t>.</w:t>
            </w:r>
          </w:p>
          <w:p w14:paraId="0E07020D" w14:textId="77777777" w:rsidR="007D20AE" w:rsidRPr="009B39EC" w:rsidRDefault="007D20AE" w:rsidP="007D20AE">
            <w:pPr>
              <w:pStyle w:val="NoSpacing"/>
              <w:jc w:val="both"/>
              <w:rPr>
                <w:rFonts w:ascii="Arial" w:hAnsi="Arial" w:cs="Arial"/>
                <w:sz w:val="20"/>
                <w:szCs w:val="20"/>
                <w:lang w:val="en-GB"/>
              </w:rPr>
            </w:pPr>
          </w:p>
          <w:p w14:paraId="68FF91A7" w14:textId="3BBB1D64"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A</w:t>
            </w:r>
            <w:r w:rsidR="00240669" w:rsidRPr="009B39EC">
              <w:rPr>
                <w:rFonts w:ascii="Arial" w:hAnsi="Arial" w:cs="Arial"/>
                <w:sz w:val="20"/>
                <w:szCs w:val="20"/>
                <w:lang w:val="en-GB"/>
              </w:rPr>
              <w:t xml:space="preserve">ccessibility. The </w:t>
            </w:r>
            <w:r w:rsidRPr="009B39EC">
              <w:rPr>
                <w:rFonts w:ascii="Arial" w:hAnsi="Arial" w:cs="Arial"/>
                <w:sz w:val="20"/>
                <w:szCs w:val="20"/>
                <w:lang w:val="en-GB"/>
              </w:rPr>
              <w:t xml:space="preserve">LILIUM </w:t>
            </w:r>
            <w:r w:rsidR="00240669" w:rsidRPr="009B39EC">
              <w:rPr>
                <w:rFonts w:ascii="Arial" w:hAnsi="Arial" w:cs="Arial"/>
                <w:sz w:val="20"/>
                <w:szCs w:val="20"/>
                <w:lang w:val="en-GB"/>
              </w:rPr>
              <w:t xml:space="preserve">Centre </w:t>
            </w:r>
            <w:r w:rsidR="003748E9" w:rsidRPr="009B39EC">
              <w:rPr>
                <w:rFonts w:ascii="Arial" w:hAnsi="Arial" w:cs="Arial"/>
                <w:sz w:val="20"/>
                <w:szCs w:val="20"/>
                <w:lang w:val="en-GB"/>
              </w:rPr>
              <w:t xml:space="preserve">ensures that the services are accessible to all categories of victims of sexual violence </w:t>
            </w:r>
            <w:r w:rsidR="00014722" w:rsidRPr="009B39EC">
              <w:rPr>
                <w:rFonts w:ascii="Arial" w:hAnsi="Arial" w:cs="Arial"/>
                <w:sz w:val="20"/>
                <w:szCs w:val="20"/>
                <w:lang w:val="en-GB"/>
              </w:rPr>
              <w:t xml:space="preserve">or </w:t>
            </w:r>
            <w:r w:rsidR="003748E9" w:rsidRPr="009B39EC">
              <w:rPr>
                <w:rFonts w:ascii="Arial" w:hAnsi="Arial" w:cs="Arial"/>
                <w:sz w:val="20"/>
                <w:szCs w:val="20"/>
                <w:lang w:val="en-GB"/>
              </w:rPr>
              <w:t xml:space="preserve">who belong to various marginalised groups, such as persons from the </w:t>
            </w:r>
            <w:r w:rsidR="00014722" w:rsidRPr="009B39EC">
              <w:rPr>
                <w:rFonts w:ascii="Arial" w:hAnsi="Arial" w:cs="Arial"/>
                <w:sz w:val="20"/>
                <w:szCs w:val="20"/>
                <w:lang w:val="en-GB"/>
              </w:rPr>
              <w:t>R</w:t>
            </w:r>
            <w:r w:rsidR="003748E9" w:rsidRPr="009B39EC">
              <w:rPr>
                <w:rFonts w:ascii="Arial" w:hAnsi="Arial" w:cs="Arial"/>
                <w:sz w:val="20"/>
                <w:szCs w:val="20"/>
                <w:lang w:val="en-GB"/>
              </w:rPr>
              <w:t xml:space="preserve">oma or Egyptian communities, disabled persons and children, persons from rural areas, immigrants, asylum seekers, persons from the </w:t>
            </w:r>
            <w:r w:rsidRPr="009B39EC">
              <w:rPr>
                <w:rFonts w:ascii="Arial" w:hAnsi="Arial" w:cs="Arial"/>
                <w:sz w:val="20"/>
                <w:szCs w:val="20"/>
                <w:lang w:val="en-GB"/>
              </w:rPr>
              <w:t xml:space="preserve">LGBTI+ </w:t>
            </w:r>
            <w:r w:rsidR="00014722" w:rsidRPr="009B39EC">
              <w:rPr>
                <w:rFonts w:ascii="Arial" w:hAnsi="Arial" w:cs="Arial"/>
                <w:sz w:val="20"/>
                <w:szCs w:val="20"/>
                <w:lang w:val="en-GB"/>
              </w:rPr>
              <w:t xml:space="preserve">community </w:t>
            </w:r>
            <w:r w:rsidRPr="009B39EC">
              <w:rPr>
                <w:rFonts w:ascii="Arial" w:hAnsi="Arial" w:cs="Arial"/>
                <w:sz w:val="20"/>
                <w:szCs w:val="20"/>
                <w:lang w:val="en-GB"/>
              </w:rPr>
              <w:t>et</w:t>
            </w:r>
            <w:r w:rsidR="003748E9" w:rsidRPr="009B39EC">
              <w:rPr>
                <w:rFonts w:ascii="Arial" w:hAnsi="Arial" w:cs="Arial"/>
                <w:sz w:val="20"/>
                <w:szCs w:val="20"/>
                <w:lang w:val="en-GB"/>
              </w:rPr>
              <w:t>c</w:t>
            </w:r>
            <w:r w:rsidRPr="009B39EC">
              <w:rPr>
                <w:rFonts w:ascii="Arial" w:hAnsi="Arial" w:cs="Arial"/>
                <w:sz w:val="20"/>
                <w:szCs w:val="20"/>
                <w:lang w:val="en-GB"/>
              </w:rPr>
              <w:t xml:space="preserve">.  </w:t>
            </w:r>
            <w:r w:rsidR="003748E9" w:rsidRPr="009B39EC">
              <w:rPr>
                <w:rFonts w:ascii="Arial" w:hAnsi="Arial" w:cs="Arial"/>
                <w:sz w:val="20"/>
                <w:szCs w:val="20"/>
                <w:lang w:val="en-GB"/>
              </w:rPr>
              <w:t>The list of “on call’ professionals who work for the centre includes several professional interpreters, including sign language interpreters, for people who need this type of service.</w:t>
            </w:r>
            <w:r w:rsidR="00014722" w:rsidRPr="009B39EC">
              <w:rPr>
                <w:rFonts w:ascii="Arial" w:hAnsi="Arial" w:cs="Arial"/>
                <w:sz w:val="20"/>
                <w:szCs w:val="20"/>
                <w:lang w:val="en-GB"/>
              </w:rPr>
              <w:t xml:space="preserve"> </w:t>
            </w:r>
            <w:r w:rsidR="003748E9" w:rsidRPr="009B39EC">
              <w:rPr>
                <w:rFonts w:ascii="Arial" w:hAnsi="Arial" w:cs="Arial"/>
                <w:sz w:val="20"/>
                <w:szCs w:val="20"/>
                <w:lang w:val="en-GB"/>
              </w:rPr>
              <w:t xml:space="preserve">In the case of victims </w:t>
            </w:r>
            <w:r w:rsidR="00014722" w:rsidRPr="009B39EC">
              <w:rPr>
                <w:rFonts w:ascii="Arial" w:hAnsi="Arial" w:cs="Arial"/>
                <w:sz w:val="20"/>
                <w:szCs w:val="20"/>
                <w:lang w:val="en-GB"/>
              </w:rPr>
              <w:t xml:space="preserve">living in </w:t>
            </w:r>
            <w:r w:rsidR="003748E9" w:rsidRPr="009B39EC">
              <w:rPr>
                <w:rFonts w:ascii="Arial" w:hAnsi="Arial" w:cs="Arial"/>
                <w:sz w:val="20"/>
                <w:szCs w:val="20"/>
                <w:lang w:val="en-GB"/>
              </w:rPr>
              <w:t>remote areas, far removed from the Centre, collaboration with the local CRM is advised to facilitate the victim’s travel to the LILIUM Centre. Where it is established that the victim of sexual abuse has serious mental health problems, is an alcoholic or has an addiction to other substances, the Centre collaborates with specialised national or local services</w:t>
            </w:r>
            <w:r w:rsidRPr="009B39EC">
              <w:rPr>
                <w:rFonts w:ascii="Arial" w:hAnsi="Arial" w:cs="Arial"/>
                <w:sz w:val="20"/>
                <w:szCs w:val="20"/>
                <w:lang w:val="en-GB"/>
              </w:rPr>
              <w:t xml:space="preserve">. </w:t>
            </w:r>
            <w:r w:rsidR="003748E9" w:rsidRPr="009B39EC">
              <w:rPr>
                <w:rFonts w:ascii="Arial" w:hAnsi="Arial" w:cs="Arial"/>
                <w:sz w:val="20"/>
                <w:szCs w:val="20"/>
                <w:lang w:val="en-GB"/>
              </w:rPr>
              <w:t xml:space="preserve">Where the victim is a foreign national, a visitor or asylum seeker, or </w:t>
            </w:r>
            <w:r w:rsidR="00014722" w:rsidRPr="009B39EC">
              <w:rPr>
                <w:rFonts w:ascii="Arial" w:hAnsi="Arial" w:cs="Arial"/>
                <w:sz w:val="20"/>
                <w:szCs w:val="20"/>
                <w:lang w:val="en-GB"/>
              </w:rPr>
              <w:t xml:space="preserve">is someone </w:t>
            </w:r>
            <w:r w:rsidR="003748E9" w:rsidRPr="009B39EC">
              <w:rPr>
                <w:rFonts w:ascii="Arial" w:hAnsi="Arial" w:cs="Arial"/>
                <w:sz w:val="20"/>
                <w:szCs w:val="20"/>
                <w:lang w:val="en-GB"/>
              </w:rPr>
              <w:t>needs an interpreter for any other reason, interpretation services are provided mak</w:t>
            </w:r>
            <w:r w:rsidR="00014722" w:rsidRPr="009B39EC">
              <w:rPr>
                <w:rFonts w:ascii="Arial" w:hAnsi="Arial" w:cs="Arial"/>
                <w:sz w:val="20"/>
                <w:szCs w:val="20"/>
                <w:lang w:val="en-GB"/>
              </w:rPr>
              <w:t>ing it</w:t>
            </w:r>
            <w:r w:rsidR="003748E9" w:rsidRPr="009B39EC">
              <w:rPr>
                <w:rFonts w:ascii="Arial" w:hAnsi="Arial" w:cs="Arial"/>
                <w:sz w:val="20"/>
                <w:szCs w:val="20"/>
                <w:lang w:val="en-GB"/>
              </w:rPr>
              <w:t xml:space="preserve"> possible for the victim to </w:t>
            </w:r>
            <w:r w:rsidR="00014722" w:rsidRPr="009B39EC">
              <w:rPr>
                <w:rFonts w:ascii="Arial" w:hAnsi="Arial" w:cs="Arial"/>
                <w:sz w:val="20"/>
                <w:szCs w:val="20"/>
                <w:lang w:val="en-GB"/>
              </w:rPr>
              <w:t xml:space="preserve">fully avail themselves of the </w:t>
            </w:r>
            <w:r w:rsidR="003748E9" w:rsidRPr="009B39EC">
              <w:rPr>
                <w:rFonts w:ascii="Arial" w:hAnsi="Arial" w:cs="Arial"/>
                <w:sz w:val="20"/>
                <w:szCs w:val="20"/>
                <w:lang w:val="en-GB"/>
              </w:rPr>
              <w:t xml:space="preserve">services of the centre. The Centre provides </w:t>
            </w:r>
            <w:r w:rsidR="00014722" w:rsidRPr="009B39EC">
              <w:rPr>
                <w:rFonts w:ascii="Arial" w:hAnsi="Arial" w:cs="Arial"/>
                <w:sz w:val="20"/>
                <w:szCs w:val="20"/>
                <w:lang w:val="en-GB"/>
              </w:rPr>
              <w:t xml:space="preserve">tailored </w:t>
            </w:r>
            <w:r w:rsidR="003748E9" w:rsidRPr="009B39EC">
              <w:rPr>
                <w:rFonts w:ascii="Arial" w:hAnsi="Arial" w:cs="Arial"/>
                <w:sz w:val="20"/>
                <w:szCs w:val="20"/>
                <w:lang w:val="en-GB"/>
              </w:rPr>
              <w:t>services to children in an appropriate environment</w:t>
            </w:r>
            <w:r w:rsidR="00014722" w:rsidRPr="009B39EC">
              <w:rPr>
                <w:rFonts w:ascii="Arial" w:hAnsi="Arial" w:cs="Arial"/>
                <w:sz w:val="20"/>
                <w:szCs w:val="20"/>
                <w:lang w:val="en-GB"/>
              </w:rPr>
              <w:t xml:space="preserve">, </w:t>
            </w:r>
            <w:r w:rsidR="003748E9" w:rsidRPr="009B39EC">
              <w:rPr>
                <w:rFonts w:ascii="Arial" w:hAnsi="Arial" w:cs="Arial"/>
                <w:sz w:val="20"/>
                <w:szCs w:val="20"/>
                <w:lang w:val="en-GB"/>
              </w:rPr>
              <w:t xml:space="preserve">with special child interviewing facilities </w:t>
            </w:r>
            <w:r w:rsidRPr="009B39EC">
              <w:rPr>
                <w:rFonts w:ascii="Arial" w:hAnsi="Arial" w:cs="Arial"/>
                <w:sz w:val="20"/>
                <w:szCs w:val="20"/>
                <w:lang w:val="en-GB"/>
              </w:rPr>
              <w:t>(</w:t>
            </w:r>
            <w:r w:rsidR="00264A56" w:rsidRPr="009B39EC">
              <w:rPr>
                <w:rFonts w:ascii="Arial" w:hAnsi="Arial" w:cs="Arial"/>
                <w:sz w:val="20"/>
                <w:szCs w:val="20"/>
                <w:lang w:val="en-GB"/>
              </w:rPr>
              <w:t>e.g.,</w:t>
            </w:r>
            <w:r w:rsidRPr="009B39EC">
              <w:rPr>
                <w:rFonts w:ascii="Arial" w:hAnsi="Arial" w:cs="Arial"/>
                <w:sz w:val="20"/>
                <w:szCs w:val="20"/>
                <w:lang w:val="en-GB"/>
              </w:rPr>
              <w:t xml:space="preserve"> </w:t>
            </w:r>
            <w:r w:rsidR="003748E9" w:rsidRPr="009B39EC">
              <w:rPr>
                <w:rFonts w:ascii="Arial" w:hAnsi="Arial" w:cs="Arial"/>
                <w:sz w:val="20"/>
                <w:szCs w:val="20"/>
                <w:lang w:val="en-GB"/>
              </w:rPr>
              <w:t>glass-</w:t>
            </w:r>
            <w:r w:rsidR="00264A56" w:rsidRPr="009B39EC">
              <w:rPr>
                <w:rFonts w:ascii="Arial" w:hAnsi="Arial" w:cs="Arial"/>
                <w:sz w:val="20"/>
                <w:szCs w:val="20"/>
                <w:lang w:val="en-GB"/>
              </w:rPr>
              <w:t>panelled</w:t>
            </w:r>
            <w:r w:rsidR="003748E9" w:rsidRPr="009B39EC">
              <w:rPr>
                <w:rFonts w:ascii="Arial" w:hAnsi="Arial" w:cs="Arial"/>
                <w:sz w:val="20"/>
                <w:szCs w:val="20"/>
                <w:lang w:val="en-GB"/>
              </w:rPr>
              <w:t xml:space="preserve"> rooms or </w:t>
            </w:r>
            <w:r w:rsidR="002D4868" w:rsidRPr="009B39EC">
              <w:rPr>
                <w:rFonts w:ascii="Arial" w:hAnsi="Arial" w:cs="Arial"/>
                <w:sz w:val="20"/>
                <w:szCs w:val="20"/>
                <w:lang w:val="en-GB"/>
              </w:rPr>
              <w:t>CCTV</w:t>
            </w:r>
            <w:r w:rsidRPr="009B39EC">
              <w:rPr>
                <w:rFonts w:ascii="Arial" w:hAnsi="Arial" w:cs="Arial"/>
                <w:sz w:val="20"/>
                <w:szCs w:val="20"/>
                <w:lang w:val="en-GB"/>
              </w:rPr>
              <w:t xml:space="preserve">). </w:t>
            </w:r>
            <w:r w:rsidR="002D4868" w:rsidRPr="009B39EC">
              <w:rPr>
                <w:rFonts w:ascii="Arial" w:hAnsi="Arial" w:cs="Arial"/>
                <w:sz w:val="20"/>
                <w:szCs w:val="20"/>
                <w:lang w:val="en-GB"/>
              </w:rPr>
              <w:t xml:space="preserve">In collaboration with the local coordinator for domestic violence issues, the Centre facilitates referrals to other additional services, such as accommodation in residential centres, long-term psychological services, medical </w:t>
            </w:r>
            <w:proofErr w:type="gramStart"/>
            <w:r w:rsidR="002D4868" w:rsidRPr="009B39EC">
              <w:rPr>
                <w:rFonts w:ascii="Arial" w:hAnsi="Arial" w:cs="Arial"/>
                <w:sz w:val="20"/>
                <w:szCs w:val="20"/>
                <w:lang w:val="en-GB"/>
              </w:rPr>
              <w:t>services</w:t>
            </w:r>
            <w:proofErr w:type="gramEnd"/>
            <w:r w:rsidR="002D4868" w:rsidRPr="009B39EC">
              <w:rPr>
                <w:rFonts w:ascii="Arial" w:hAnsi="Arial" w:cs="Arial"/>
                <w:sz w:val="20"/>
                <w:szCs w:val="20"/>
                <w:lang w:val="en-GB"/>
              </w:rPr>
              <w:t xml:space="preserve"> and legal services.</w:t>
            </w:r>
          </w:p>
          <w:p w14:paraId="678A66DC" w14:textId="77777777" w:rsidR="007D20AE" w:rsidRPr="009B39EC" w:rsidRDefault="007D20AE" w:rsidP="007D20AE">
            <w:pPr>
              <w:pStyle w:val="NoSpacing"/>
              <w:jc w:val="both"/>
              <w:rPr>
                <w:rFonts w:ascii="Arial" w:hAnsi="Arial" w:cs="Arial"/>
                <w:sz w:val="20"/>
                <w:szCs w:val="20"/>
                <w:lang w:val="en-GB"/>
              </w:rPr>
            </w:pPr>
          </w:p>
          <w:p w14:paraId="487795EB" w14:textId="1EBE18C4"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Num</w:t>
            </w:r>
            <w:r w:rsidR="002C2A04" w:rsidRPr="009B39EC">
              <w:rPr>
                <w:rFonts w:ascii="Arial" w:hAnsi="Arial" w:cs="Arial"/>
                <w:sz w:val="20"/>
                <w:szCs w:val="20"/>
                <w:lang w:val="en-GB"/>
              </w:rPr>
              <w:t>ber of cases treated at the Lilium Centre during the reporting period</w:t>
            </w:r>
            <w:r w:rsidRPr="009B39EC">
              <w:rPr>
                <w:rFonts w:ascii="Arial" w:hAnsi="Arial" w:cs="Arial"/>
                <w:sz w:val="20"/>
                <w:szCs w:val="20"/>
                <w:lang w:val="en-GB"/>
              </w:rPr>
              <w:t xml:space="preserve"> (</w:t>
            </w:r>
            <w:r w:rsidR="002C2A04" w:rsidRPr="009B39EC">
              <w:rPr>
                <w:rFonts w:ascii="Arial" w:hAnsi="Arial" w:cs="Arial"/>
                <w:sz w:val="20"/>
                <w:szCs w:val="20"/>
                <w:lang w:val="en-GB"/>
              </w:rPr>
              <w:t xml:space="preserve">a total of </w:t>
            </w:r>
            <w:r w:rsidRPr="009B39EC">
              <w:rPr>
                <w:rFonts w:ascii="Arial" w:hAnsi="Arial" w:cs="Arial"/>
                <w:sz w:val="20"/>
                <w:szCs w:val="20"/>
                <w:lang w:val="en-GB"/>
              </w:rPr>
              <w:t xml:space="preserve">84 </w:t>
            </w:r>
            <w:r w:rsidR="002C2A04" w:rsidRPr="009B39EC">
              <w:rPr>
                <w:rFonts w:ascii="Arial" w:hAnsi="Arial" w:cs="Arial"/>
                <w:sz w:val="20"/>
                <w:szCs w:val="20"/>
                <w:lang w:val="en-GB"/>
              </w:rPr>
              <w:t>cases</w:t>
            </w:r>
            <w:r w:rsidRPr="009B39EC">
              <w:rPr>
                <w:rFonts w:ascii="Arial" w:hAnsi="Arial" w:cs="Arial"/>
                <w:sz w:val="20"/>
                <w:szCs w:val="20"/>
                <w:lang w:val="en-GB"/>
              </w:rPr>
              <w:t>):</w:t>
            </w:r>
          </w:p>
          <w:p w14:paraId="6E8B592E" w14:textId="3D404239" w:rsidR="007D20AE" w:rsidRPr="009B39EC" w:rsidRDefault="007D20AE" w:rsidP="007D20AE">
            <w:pPr>
              <w:pStyle w:val="NoSpacing"/>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328"/>
              <w:gridCol w:w="1095"/>
              <w:gridCol w:w="1095"/>
              <w:gridCol w:w="1095"/>
              <w:gridCol w:w="1095"/>
              <w:gridCol w:w="1095"/>
              <w:gridCol w:w="1095"/>
              <w:gridCol w:w="1095"/>
            </w:tblGrid>
            <w:tr w:rsidR="007D20AE" w:rsidRPr="009B39EC" w14:paraId="037DAF52" w14:textId="77777777" w:rsidTr="007D20AE">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E93D95"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 </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EC7157"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0-6</w:t>
                  </w:r>
                </w:p>
                <w:p w14:paraId="21C50C52" w14:textId="1374C756"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76670E"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7-12</w:t>
                  </w:r>
                </w:p>
                <w:p w14:paraId="1C5C3F95" w14:textId="36C33C79"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FFF326"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13-18</w:t>
                  </w:r>
                </w:p>
                <w:p w14:paraId="0B1FBF3E" w14:textId="741CB31A"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BF8571B"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19-25</w:t>
                  </w:r>
                </w:p>
                <w:p w14:paraId="61329FBE" w14:textId="58EDF9F3"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271C4E"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26-46</w:t>
                  </w:r>
                </w:p>
                <w:p w14:paraId="6D75C5D5" w14:textId="170A2215"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3372FD"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47-60</w:t>
                  </w:r>
                </w:p>
                <w:p w14:paraId="02CF426F" w14:textId="3A98BEA9"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344CBA" w14:textId="36BB884D" w:rsidR="007D20AE" w:rsidRPr="009B39EC" w:rsidRDefault="00C91B33" w:rsidP="007D20AE">
                  <w:pPr>
                    <w:pStyle w:val="NoSpacing"/>
                    <w:jc w:val="both"/>
                    <w:rPr>
                      <w:rFonts w:ascii="Arial" w:hAnsi="Arial" w:cs="Arial"/>
                      <w:sz w:val="20"/>
                      <w:szCs w:val="20"/>
                      <w:lang w:val="en-GB"/>
                    </w:rPr>
                  </w:pPr>
                  <w:r w:rsidRPr="009B39EC">
                    <w:rPr>
                      <w:rFonts w:ascii="Arial" w:hAnsi="Arial" w:cs="Arial"/>
                      <w:b/>
                      <w:bCs/>
                      <w:sz w:val="20"/>
                      <w:szCs w:val="20"/>
                      <w:lang w:val="en-GB"/>
                    </w:rPr>
                    <w:t>over</w:t>
                  </w:r>
                  <w:r w:rsidR="007D20AE" w:rsidRPr="009B39EC">
                    <w:rPr>
                      <w:rFonts w:ascii="Arial" w:hAnsi="Arial" w:cs="Arial"/>
                      <w:b/>
                      <w:bCs/>
                      <w:sz w:val="20"/>
                      <w:szCs w:val="20"/>
                      <w:lang w:val="en-GB"/>
                    </w:rPr>
                    <w:t xml:space="preserve"> 60</w:t>
                  </w:r>
                </w:p>
                <w:p w14:paraId="45706273" w14:textId="2BBB4C20" w:rsidR="007D20AE" w:rsidRPr="009B39EC" w:rsidRDefault="00CF4A3A" w:rsidP="007D20AE">
                  <w:pPr>
                    <w:pStyle w:val="NoSpacing"/>
                    <w:jc w:val="both"/>
                    <w:rPr>
                      <w:rFonts w:ascii="Arial" w:hAnsi="Arial" w:cs="Arial"/>
                      <w:sz w:val="20"/>
                      <w:szCs w:val="20"/>
                      <w:lang w:val="en-GB"/>
                    </w:rPr>
                  </w:pPr>
                  <w:r w:rsidRPr="009B39EC">
                    <w:rPr>
                      <w:rFonts w:ascii="Arial" w:hAnsi="Arial" w:cs="Arial"/>
                      <w:b/>
                      <w:bCs/>
                      <w:sz w:val="20"/>
                      <w:szCs w:val="20"/>
                      <w:lang w:val="en-GB"/>
                    </w:rPr>
                    <w:t>years old</w:t>
                  </w:r>
                </w:p>
              </w:tc>
            </w:tr>
            <w:tr w:rsidR="007D20AE" w:rsidRPr="009B39EC" w14:paraId="41F36E5E" w14:textId="77777777" w:rsidTr="007D20AE">
              <w:tc>
                <w:tcPr>
                  <w:tcW w:w="0" w:type="auto"/>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BB9297" w14:textId="4BB9CC87"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2019</w:t>
                  </w:r>
                </w:p>
              </w:tc>
            </w:tr>
            <w:tr w:rsidR="007D20AE" w:rsidRPr="009B39EC" w14:paraId="161F89A9" w14:textId="77777777" w:rsidTr="007D20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DDD8E0" w14:textId="19E3F75B" w:rsidR="007D20AE" w:rsidRPr="009B39EC" w:rsidRDefault="00CF4A3A" w:rsidP="007D20AE">
                  <w:pPr>
                    <w:pStyle w:val="NoSpacing"/>
                    <w:jc w:val="both"/>
                    <w:rPr>
                      <w:rFonts w:ascii="Arial" w:hAnsi="Arial" w:cs="Arial"/>
                      <w:sz w:val="20"/>
                      <w:szCs w:val="20"/>
                      <w:lang w:val="en-GB"/>
                    </w:rPr>
                  </w:pPr>
                  <w:r w:rsidRPr="009B39EC">
                    <w:rPr>
                      <w:rFonts w:ascii="Arial" w:hAnsi="Arial" w:cs="Arial"/>
                      <w:sz w:val="20"/>
                      <w:szCs w:val="20"/>
                      <w:lang w:val="en-GB"/>
                    </w:rPr>
                    <w:t>Girls/women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5E338"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A86A7"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8C8E0E"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19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2A3AC"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DEF99"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DB2EC"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5E8C4"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r>
            <w:tr w:rsidR="007D20AE" w:rsidRPr="009B39EC" w14:paraId="5E7054CB" w14:textId="77777777" w:rsidTr="007D20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F0E5CB" w14:textId="499E036B" w:rsidR="007D20AE" w:rsidRPr="009B39EC" w:rsidRDefault="00CF4A3A" w:rsidP="007D20AE">
                  <w:pPr>
                    <w:pStyle w:val="NoSpacing"/>
                    <w:jc w:val="both"/>
                    <w:rPr>
                      <w:rFonts w:ascii="Arial" w:hAnsi="Arial" w:cs="Arial"/>
                      <w:sz w:val="20"/>
                      <w:szCs w:val="20"/>
                      <w:lang w:val="en-GB"/>
                    </w:rPr>
                  </w:pPr>
                  <w:r w:rsidRPr="009B39EC">
                    <w:rPr>
                      <w:rFonts w:ascii="Arial" w:hAnsi="Arial" w:cs="Arial"/>
                      <w:sz w:val="20"/>
                      <w:szCs w:val="20"/>
                      <w:lang w:val="en-GB"/>
                    </w:rPr>
                    <w:t>Boys/men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AC8EEF"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F46022"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8D531"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B76E4E"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F4DF8"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F26AB"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B5D8B"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r>
            <w:tr w:rsidR="007D20AE" w:rsidRPr="009B39EC" w14:paraId="269A0DCE" w14:textId="77777777" w:rsidTr="007D20AE">
              <w:tc>
                <w:tcPr>
                  <w:tcW w:w="0" w:type="auto"/>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71CB89" w14:textId="70F4D295" w:rsidR="007D20AE" w:rsidRPr="009B39EC" w:rsidRDefault="007D20AE" w:rsidP="007D20AE">
                  <w:pPr>
                    <w:pStyle w:val="NoSpacing"/>
                    <w:jc w:val="both"/>
                    <w:rPr>
                      <w:rFonts w:ascii="Arial" w:hAnsi="Arial" w:cs="Arial"/>
                      <w:sz w:val="20"/>
                      <w:szCs w:val="20"/>
                      <w:lang w:val="en-GB"/>
                    </w:rPr>
                  </w:pPr>
                  <w:r w:rsidRPr="009B39EC">
                    <w:rPr>
                      <w:rFonts w:ascii="Arial" w:hAnsi="Arial" w:cs="Arial"/>
                      <w:b/>
                      <w:bCs/>
                      <w:sz w:val="20"/>
                      <w:szCs w:val="20"/>
                      <w:lang w:val="en-GB"/>
                    </w:rPr>
                    <w:t>2020</w:t>
                  </w:r>
                </w:p>
              </w:tc>
            </w:tr>
            <w:tr w:rsidR="007D20AE" w:rsidRPr="009B39EC" w14:paraId="59E76859" w14:textId="77777777" w:rsidTr="007D20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1052CD" w14:textId="49BCC4B0" w:rsidR="007D20AE" w:rsidRPr="009B39EC" w:rsidRDefault="00CF4A3A" w:rsidP="007D20AE">
                  <w:pPr>
                    <w:pStyle w:val="NoSpacing"/>
                    <w:jc w:val="both"/>
                    <w:rPr>
                      <w:rFonts w:ascii="Arial" w:hAnsi="Arial" w:cs="Arial"/>
                      <w:sz w:val="20"/>
                      <w:szCs w:val="20"/>
                      <w:lang w:val="en-GB"/>
                    </w:rPr>
                  </w:pPr>
                  <w:r w:rsidRPr="009B39EC">
                    <w:rPr>
                      <w:rFonts w:ascii="Arial" w:hAnsi="Arial" w:cs="Arial"/>
                      <w:sz w:val="20"/>
                      <w:szCs w:val="20"/>
                      <w:lang w:val="en-GB"/>
                    </w:rPr>
                    <w:t>Girls/women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4580CE"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6B1BE6" w14:textId="18FDAAAE"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1A482F" w14:textId="6632A778"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FEFD7"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B0F0DC"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14F52D"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E7D3D"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r>
            <w:tr w:rsidR="007D20AE" w:rsidRPr="009B39EC" w14:paraId="27A03F89" w14:textId="77777777" w:rsidTr="007D20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9AFA59" w14:textId="700F3192" w:rsidR="007D20AE" w:rsidRPr="009B39EC" w:rsidRDefault="00CF4A3A" w:rsidP="007D20AE">
                  <w:pPr>
                    <w:pStyle w:val="NoSpacing"/>
                    <w:jc w:val="both"/>
                    <w:rPr>
                      <w:rFonts w:ascii="Arial" w:hAnsi="Arial" w:cs="Arial"/>
                      <w:sz w:val="20"/>
                      <w:szCs w:val="20"/>
                      <w:lang w:val="en-GB"/>
                    </w:rPr>
                  </w:pPr>
                  <w:r w:rsidRPr="009B39EC">
                    <w:rPr>
                      <w:rFonts w:ascii="Arial" w:hAnsi="Arial" w:cs="Arial"/>
                      <w:sz w:val="20"/>
                      <w:szCs w:val="20"/>
                      <w:lang w:val="en-GB"/>
                    </w:rPr>
                    <w:t>Boys/men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2DDE7"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87E241"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F8A56"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6B0453"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A591"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89751A"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E66F3" w14:textId="77777777" w:rsidR="007D20AE" w:rsidRPr="009B39EC" w:rsidRDefault="007D20AE" w:rsidP="007D20AE">
                  <w:pPr>
                    <w:pStyle w:val="NoSpacing"/>
                    <w:jc w:val="both"/>
                    <w:rPr>
                      <w:rFonts w:ascii="Arial" w:hAnsi="Arial" w:cs="Arial"/>
                      <w:sz w:val="20"/>
                      <w:szCs w:val="20"/>
                      <w:lang w:val="en-GB"/>
                    </w:rPr>
                  </w:pPr>
                  <w:r w:rsidRPr="009B39EC">
                    <w:rPr>
                      <w:rFonts w:ascii="Arial" w:hAnsi="Arial" w:cs="Arial"/>
                      <w:sz w:val="20"/>
                      <w:szCs w:val="20"/>
                      <w:lang w:val="en-GB"/>
                    </w:rPr>
                    <w:t>0</w:t>
                  </w:r>
                </w:p>
              </w:tc>
            </w:tr>
          </w:tbl>
          <w:p w14:paraId="7624683D" w14:textId="77777777" w:rsidR="007D20AE" w:rsidRPr="009B39EC" w:rsidRDefault="007D20AE" w:rsidP="007D20AE">
            <w:pPr>
              <w:pStyle w:val="NoSpacing"/>
              <w:jc w:val="both"/>
              <w:rPr>
                <w:rFonts w:ascii="Arial" w:hAnsi="Arial" w:cs="Arial"/>
                <w:sz w:val="20"/>
                <w:szCs w:val="20"/>
                <w:lang w:val="en-GB"/>
              </w:rPr>
            </w:pPr>
          </w:p>
          <w:p w14:paraId="03ACF89B" w14:textId="2EBF2613" w:rsidR="007D20AE" w:rsidRPr="009B39EC" w:rsidRDefault="007D20AE" w:rsidP="007D20AE">
            <w:pPr>
              <w:pStyle w:val="NoSpacing"/>
              <w:jc w:val="both"/>
              <w:rPr>
                <w:rFonts w:ascii="Arial" w:hAnsi="Arial" w:cs="Arial"/>
                <w:sz w:val="20"/>
                <w:szCs w:val="20"/>
                <w:lang w:val="en-GB"/>
              </w:rPr>
            </w:pPr>
          </w:p>
        </w:tc>
      </w:tr>
      <w:tr w:rsidR="00BF5668" w:rsidRPr="009B39EC" w14:paraId="1DF39947" w14:textId="77777777" w:rsidTr="00F03CCA">
        <w:tc>
          <w:tcPr>
            <w:tcW w:w="216" w:type="pct"/>
          </w:tcPr>
          <w:p w14:paraId="6966CC09" w14:textId="77777777" w:rsidR="00BF5668" w:rsidRPr="009B39EC" w:rsidRDefault="00BF5668" w:rsidP="00BF5668">
            <w:pPr>
              <w:pStyle w:val="NoSpacing"/>
              <w:jc w:val="both"/>
              <w:rPr>
                <w:rFonts w:ascii="Arial" w:hAnsi="Arial" w:cs="Arial"/>
                <w:sz w:val="20"/>
                <w:szCs w:val="20"/>
                <w:lang w:val="en-GB"/>
              </w:rPr>
            </w:pPr>
            <w:r w:rsidRPr="009B39EC">
              <w:rPr>
                <w:rFonts w:ascii="Arial" w:hAnsi="Arial" w:cs="Arial"/>
                <w:sz w:val="20"/>
                <w:szCs w:val="20"/>
                <w:lang w:val="en-GB"/>
              </w:rPr>
              <w:lastRenderedPageBreak/>
              <w:t>33</w:t>
            </w:r>
          </w:p>
        </w:tc>
        <w:tc>
          <w:tcPr>
            <w:tcW w:w="4784" w:type="pct"/>
            <w:gridSpan w:val="3"/>
          </w:tcPr>
          <w:p w14:paraId="29D83747" w14:textId="473F1618" w:rsidR="00BF5668" w:rsidRPr="009B39EC" w:rsidRDefault="00DC74D7" w:rsidP="00BF5668">
            <w:pPr>
              <w:pStyle w:val="NoSpacing"/>
              <w:jc w:val="both"/>
              <w:rPr>
                <w:rFonts w:ascii="Arial" w:hAnsi="Arial" w:cs="Arial"/>
                <w:sz w:val="20"/>
                <w:szCs w:val="20"/>
                <w:lang w:val="en-GB"/>
              </w:rPr>
            </w:pPr>
            <w:r w:rsidRPr="009B39EC">
              <w:rPr>
                <w:rFonts w:ascii="Arial" w:hAnsi="Arial" w:cs="Arial"/>
                <w:sz w:val="20"/>
                <w:szCs w:val="20"/>
                <w:lang w:val="en-GB"/>
              </w:rPr>
              <w:t xml:space="preserve">Please report on measures taken by your authorities contributing to the implementation of the recommendation to amend the definition of rape so that it is based on lack of freely given consent, does not require demonstration of use of force or resistance and in the case of rape involving children between 14 and 18, does not depend on whether or not the victim has reached puberty; criminalise the non-consensual sexual behaviour described </w:t>
            </w:r>
            <w:r w:rsidRPr="009B39EC">
              <w:rPr>
                <w:rFonts w:ascii="Arial" w:hAnsi="Arial" w:cs="Arial"/>
                <w:sz w:val="20"/>
                <w:szCs w:val="20"/>
                <w:lang w:val="en-GB"/>
              </w:rPr>
              <w:lastRenderedPageBreak/>
              <w:t>in paragraph 1, indents b and c of Article 36 of the Convention; take the necessary measures to ensure that any act of sexual violence between former or current spouses or partners as recognised by internal law is criminalised (Recommendation A.12, IC-CP/Inf(2018)3).</w:t>
            </w:r>
          </w:p>
          <w:p w14:paraId="73B38F5B" w14:textId="77777777" w:rsidR="006309C2" w:rsidRPr="009B39EC" w:rsidRDefault="006309C2" w:rsidP="00BF5668">
            <w:pPr>
              <w:pStyle w:val="NoSpacing"/>
              <w:jc w:val="both"/>
              <w:rPr>
                <w:rFonts w:ascii="Arial" w:hAnsi="Arial" w:cs="Arial"/>
                <w:sz w:val="20"/>
                <w:szCs w:val="20"/>
                <w:lang w:val="en-GB"/>
              </w:rPr>
            </w:pPr>
          </w:p>
          <w:p w14:paraId="5EDAA4AA" w14:textId="06479C35" w:rsidR="006309C2" w:rsidRPr="009B39EC" w:rsidRDefault="00DD15AF" w:rsidP="00BF5668">
            <w:pPr>
              <w:pStyle w:val="NoSpacing"/>
              <w:jc w:val="both"/>
              <w:rPr>
                <w:rFonts w:ascii="Arial" w:hAnsi="Arial" w:cs="Arial"/>
                <w:sz w:val="20"/>
                <w:szCs w:val="20"/>
                <w:lang w:val="en-GB"/>
              </w:rPr>
            </w:pPr>
            <w:r w:rsidRPr="009B39EC">
              <w:rPr>
                <w:rFonts w:ascii="Arial" w:hAnsi="Arial" w:cs="Arial"/>
                <w:sz w:val="20"/>
                <w:szCs w:val="20"/>
                <w:lang w:val="en-GB"/>
              </w:rPr>
              <w:t>The l</w:t>
            </w:r>
            <w:r w:rsidR="002328A3" w:rsidRPr="009B39EC">
              <w:rPr>
                <w:rFonts w:ascii="Arial" w:hAnsi="Arial" w:cs="Arial"/>
                <w:sz w:val="20"/>
                <w:szCs w:val="20"/>
                <w:lang w:val="en-GB"/>
              </w:rPr>
              <w:t xml:space="preserve">egislative measures </w:t>
            </w:r>
            <w:r w:rsidR="00F84E64" w:rsidRPr="009B39EC">
              <w:rPr>
                <w:rFonts w:ascii="Arial" w:hAnsi="Arial" w:cs="Arial"/>
                <w:sz w:val="20"/>
                <w:szCs w:val="20"/>
                <w:lang w:val="en-GB"/>
              </w:rPr>
              <w:t xml:space="preserve">necessary for </w:t>
            </w:r>
            <w:r w:rsidR="00463D30" w:rsidRPr="009B39EC">
              <w:rPr>
                <w:rFonts w:ascii="Arial" w:hAnsi="Arial" w:cs="Arial"/>
                <w:sz w:val="20"/>
                <w:szCs w:val="20"/>
                <w:lang w:val="en-GB"/>
              </w:rPr>
              <w:t xml:space="preserve">the </w:t>
            </w:r>
            <w:r w:rsidR="002328A3" w:rsidRPr="009B39EC">
              <w:rPr>
                <w:rFonts w:ascii="Arial" w:hAnsi="Arial" w:cs="Arial"/>
                <w:sz w:val="20"/>
                <w:szCs w:val="20"/>
                <w:lang w:val="en-GB"/>
              </w:rPr>
              <w:t>fulfilment of this recommendation</w:t>
            </w:r>
            <w:r w:rsidRPr="009B39EC">
              <w:rPr>
                <w:rFonts w:ascii="Arial" w:hAnsi="Arial" w:cs="Arial"/>
                <w:sz w:val="20"/>
                <w:szCs w:val="20"/>
                <w:lang w:val="en-GB"/>
              </w:rPr>
              <w:t xml:space="preserve"> are yet to be introduced</w:t>
            </w:r>
            <w:r w:rsidR="006309C2" w:rsidRPr="009B39EC">
              <w:rPr>
                <w:rFonts w:ascii="Arial" w:hAnsi="Arial" w:cs="Arial"/>
                <w:sz w:val="20"/>
                <w:szCs w:val="20"/>
                <w:lang w:val="en-GB"/>
              </w:rPr>
              <w:t>.</w:t>
            </w:r>
          </w:p>
          <w:p w14:paraId="6876504D" w14:textId="628A5BE9" w:rsidR="006309C2" w:rsidRPr="009B39EC" w:rsidRDefault="002328A3" w:rsidP="00BF5668">
            <w:pPr>
              <w:pStyle w:val="NoSpacing"/>
              <w:jc w:val="both"/>
              <w:rPr>
                <w:rFonts w:ascii="Arial" w:hAnsi="Arial" w:cs="Arial"/>
                <w:sz w:val="20"/>
                <w:szCs w:val="20"/>
                <w:lang w:val="en-GB"/>
              </w:rPr>
            </w:pPr>
            <w:r w:rsidRPr="009B39EC">
              <w:rPr>
                <w:rFonts w:ascii="Arial" w:hAnsi="Arial" w:cs="Arial"/>
                <w:sz w:val="20"/>
                <w:szCs w:val="20"/>
                <w:lang w:val="en-GB"/>
              </w:rPr>
              <w:t xml:space="preserve">However, the </w:t>
            </w:r>
            <w:r w:rsidR="00463D30" w:rsidRPr="009B39EC">
              <w:rPr>
                <w:rFonts w:ascii="Arial" w:hAnsi="Arial" w:cs="Arial"/>
                <w:sz w:val="20"/>
                <w:szCs w:val="20"/>
                <w:lang w:val="en-GB"/>
              </w:rPr>
              <w:t>working instruments used by members of the Coordinated Referral Mechanism, such as Standard Operating Procedures or protocols on the management of domestic abuse cases or sexual abuse cases by members of the Coordinated Referral Mechanisms, highlight the importance of “informed consent” and “free consent”. The Ministry of Justice is committed to consider taking steps towards improv</w:t>
            </w:r>
            <w:r w:rsidR="002C2A04" w:rsidRPr="009B39EC">
              <w:rPr>
                <w:rFonts w:ascii="Arial" w:hAnsi="Arial" w:cs="Arial"/>
                <w:sz w:val="20"/>
                <w:szCs w:val="20"/>
                <w:lang w:val="en-GB"/>
              </w:rPr>
              <w:t>ing the legal framework and properly addressing this recommendation of the Committee of the Parties</w:t>
            </w:r>
            <w:r w:rsidR="006309C2" w:rsidRPr="009B39EC">
              <w:rPr>
                <w:rFonts w:ascii="Arial" w:hAnsi="Arial" w:cs="Arial"/>
                <w:sz w:val="20"/>
                <w:szCs w:val="20"/>
                <w:lang w:val="en-GB"/>
              </w:rPr>
              <w:t xml:space="preserve">. </w:t>
            </w:r>
          </w:p>
        </w:tc>
      </w:tr>
    </w:tbl>
    <w:p w14:paraId="254C0393" w14:textId="77777777" w:rsidR="00CD0E91" w:rsidRPr="009B39EC" w:rsidRDefault="00CD0E91" w:rsidP="00CD0E91">
      <w:pPr>
        <w:rPr>
          <w:rFonts w:ascii="Arial" w:hAnsi="Arial" w:cs="Arial"/>
          <w:sz w:val="20"/>
          <w:szCs w:val="20"/>
          <w:lang w:val="en-GB"/>
        </w:rPr>
      </w:pPr>
    </w:p>
    <w:p w14:paraId="60507D6F" w14:textId="0AE8EBB0"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p w14:paraId="24A662AE" w14:textId="1E247957"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p w14:paraId="784FC70F" w14:textId="27947D17"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p w14:paraId="068FB1E7" w14:textId="51A89687"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p w14:paraId="4BA387F1" w14:textId="5BA30CA7"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p w14:paraId="19295649" w14:textId="61DFEC69" w:rsidR="00CD0E91" w:rsidRPr="009B39EC" w:rsidRDefault="00CD0E91" w:rsidP="00C27A21">
      <w:pPr>
        <w:spacing w:after="0" w:line="240" w:lineRule="auto"/>
        <w:jc w:val="both"/>
        <w:rPr>
          <w:rFonts w:ascii="Arial" w:hAnsi="Arial" w:cs="Arial"/>
          <w:color w:val="000000"/>
          <w:sz w:val="20"/>
          <w:szCs w:val="20"/>
          <w:u w:color="000000"/>
          <w:lang w:val="en-GB" w:eastAsia="en-GB"/>
          <w14:textOutline w14:w="0" w14:cap="flat" w14:cmpd="sng" w14:algn="ctr">
            <w14:noFill/>
            <w14:prstDash w14:val="solid"/>
            <w14:bevel/>
          </w14:textOutline>
        </w:rPr>
      </w:pPr>
    </w:p>
    <w:p w14:paraId="2A13AAFF" w14:textId="77777777" w:rsidR="00D909B7" w:rsidRPr="009B39EC" w:rsidRDefault="00D909B7" w:rsidP="00D909B7">
      <w:pPr>
        <w:pStyle w:val="NoSpacing"/>
        <w:jc w:val="both"/>
        <w:rPr>
          <w:rFonts w:ascii="Arial" w:hAnsi="Arial" w:cs="Arial"/>
          <w:b/>
          <w:bCs/>
          <w:sz w:val="20"/>
          <w:szCs w:val="20"/>
          <w:lang w:val="en-GB"/>
        </w:rPr>
        <w:sectPr w:rsidR="00D909B7" w:rsidRPr="009B39EC" w:rsidSect="001175B3">
          <w:pgSz w:w="16838" w:h="11906" w:orient="landscape"/>
          <w:pgMar w:top="1417" w:right="1417" w:bottom="1417" w:left="1417" w:header="708" w:footer="708" w:gutter="0"/>
          <w:cols w:space="708"/>
          <w:docGrid w:linePitch="360"/>
        </w:sectPr>
      </w:pPr>
    </w:p>
    <w:p w14:paraId="0F4E2CEB" w14:textId="2824BA37" w:rsidR="00D909B7" w:rsidRPr="009B39EC" w:rsidRDefault="002752F6" w:rsidP="00071A1F">
      <w:pPr>
        <w:pStyle w:val="NoSpacing"/>
        <w:jc w:val="both"/>
        <w:outlineLvl w:val="1"/>
        <w:rPr>
          <w:rFonts w:ascii="Arial" w:hAnsi="Arial" w:cs="Arial"/>
          <w:b/>
          <w:bCs/>
          <w:color w:val="4472C4" w:themeColor="accent1"/>
          <w:sz w:val="20"/>
          <w:szCs w:val="20"/>
          <w:lang w:val="en-GB"/>
        </w:rPr>
      </w:pPr>
      <w:bookmarkStart w:id="4" w:name="_Toc75851658"/>
      <w:r w:rsidRPr="009B39EC">
        <w:rPr>
          <w:rFonts w:ascii="Arial" w:hAnsi="Arial" w:cs="Arial"/>
          <w:b/>
          <w:bCs/>
          <w:color w:val="4472C4" w:themeColor="accent1"/>
          <w:sz w:val="20"/>
          <w:szCs w:val="20"/>
          <w:lang w:val="en-GB"/>
        </w:rPr>
        <w:lastRenderedPageBreak/>
        <w:t>ANNEX</w:t>
      </w:r>
      <w:r w:rsidR="00D909B7" w:rsidRPr="009B39EC">
        <w:rPr>
          <w:rFonts w:ascii="Arial" w:hAnsi="Arial" w:cs="Arial"/>
          <w:b/>
          <w:bCs/>
          <w:color w:val="4472C4" w:themeColor="accent1"/>
          <w:sz w:val="20"/>
          <w:szCs w:val="20"/>
          <w:lang w:val="en-GB"/>
        </w:rPr>
        <w:t xml:space="preserve"> 1. </w:t>
      </w:r>
      <w:r w:rsidRPr="009B39EC">
        <w:rPr>
          <w:rFonts w:ascii="Arial" w:hAnsi="Arial" w:cs="Arial"/>
          <w:b/>
          <w:bCs/>
          <w:color w:val="4472C4" w:themeColor="accent1"/>
          <w:sz w:val="20"/>
          <w:szCs w:val="20"/>
          <w:lang w:val="en-GB"/>
        </w:rPr>
        <w:t xml:space="preserve">SUMMARY OF MEASURES </w:t>
      </w:r>
      <w:r w:rsidR="004C6520" w:rsidRPr="009B39EC">
        <w:rPr>
          <w:rFonts w:ascii="Arial" w:hAnsi="Arial" w:cs="Arial"/>
          <w:b/>
          <w:bCs/>
          <w:color w:val="4472C4" w:themeColor="accent1"/>
          <w:sz w:val="20"/>
          <w:szCs w:val="20"/>
          <w:lang w:val="en-GB"/>
        </w:rPr>
        <w:t>IMPLEMENTED</w:t>
      </w:r>
      <w:r w:rsidRPr="009B39EC">
        <w:rPr>
          <w:rFonts w:ascii="Arial" w:hAnsi="Arial" w:cs="Arial"/>
          <w:b/>
          <w:bCs/>
          <w:color w:val="4472C4" w:themeColor="accent1"/>
          <w:sz w:val="20"/>
          <w:szCs w:val="20"/>
          <w:lang w:val="en-GB"/>
        </w:rPr>
        <w:t xml:space="preserve"> TO ADDRESS RECOMMENDATIONS</w:t>
      </w:r>
      <w:r w:rsidR="00C63750" w:rsidRPr="009B39EC">
        <w:rPr>
          <w:rFonts w:ascii="Arial" w:hAnsi="Arial" w:cs="Arial"/>
          <w:b/>
          <w:bCs/>
          <w:color w:val="4472C4" w:themeColor="accent1"/>
          <w:sz w:val="20"/>
          <w:szCs w:val="20"/>
          <w:lang w:val="en-GB"/>
        </w:rPr>
        <w:t xml:space="preserve"> FOR URGENT ACTION:</w:t>
      </w:r>
      <w:bookmarkEnd w:id="4"/>
    </w:p>
    <w:p w14:paraId="5F3BAC4F" w14:textId="77777777" w:rsidR="00D909B7" w:rsidRPr="009B39EC" w:rsidRDefault="00D909B7" w:rsidP="00636220">
      <w:pPr>
        <w:rPr>
          <w:rFonts w:ascii="Arial" w:hAnsi="Arial" w:cs="Arial"/>
          <w:sz w:val="20"/>
          <w:szCs w:val="20"/>
          <w:lang w:val="en-GB"/>
        </w:rPr>
      </w:pPr>
    </w:p>
    <w:p w14:paraId="68655D4F" w14:textId="2AAFC687" w:rsidR="00625196" w:rsidRPr="009B39EC" w:rsidRDefault="002752F6" w:rsidP="00625196">
      <w:pPr>
        <w:rPr>
          <w:rFonts w:ascii="Arial" w:hAnsi="Arial" w:cs="Arial"/>
          <w:sz w:val="20"/>
          <w:szCs w:val="20"/>
          <w:lang w:val="en-GB"/>
        </w:rPr>
      </w:pPr>
      <w:r w:rsidRPr="009B39EC">
        <w:rPr>
          <w:rFonts w:ascii="Arial" w:hAnsi="Arial" w:cs="Arial"/>
          <w:sz w:val="20"/>
          <w:szCs w:val="20"/>
          <w:lang w:val="en-GB"/>
        </w:rPr>
        <w:t xml:space="preserve">The progress made in the implementation of recommendations </w:t>
      </w:r>
      <w:r w:rsidR="00C63750" w:rsidRPr="009B39EC">
        <w:rPr>
          <w:rFonts w:ascii="Arial" w:hAnsi="Arial" w:cs="Arial"/>
          <w:sz w:val="20"/>
          <w:szCs w:val="20"/>
          <w:lang w:val="en-GB"/>
        </w:rPr>
        <w:t xml:space="preserve">for urgent action </w:t>
      </w:r>
      <w:r w:rsidRPr="009B39EC">
        <w:rPr>
          <w:rFonts w:ascii="Arial" w:hAnsi="Arial" w:cs="Arial"/>
          <w:sz w:val="20"/>
          <w:szCs w:val="20"/>
          <w:lang w:val="en-GB"/>
        </w:rPr>
        <w:t>is as follows</w:t>
      </w:r>
      <w:r w:rsidR="00625196" w:rsidRPr="009B39EC">
        <w:rPr>
          <w:rFonts w:ascii="Arial" w:hAnsi="Arial" w:cs="Arial"/>
          <w:sz w:val="20"/>
          <w:szCs w:val="20"/>
          <w:lang w:val="en-GB"/>
        </w:rPr>
        <w:t>:</w:t>
      </w:r>
    </w:p>
    <w:p w14:paraId="4DD190CC" w14:textId="48682BF3" w:rsidR="00625196" w:rsidRPr="009B39EC" w:rsidRDefault="000A542A" w:rsidP="00625196">
      <w:pPr>
        <w:jc w:val="both"/>
        <w:rPr>
          <w:rFonts w:ascii="Arial" w:hAnsi="Arial" w:cs="Arial"/>
          <w:sz w:val="20"/>
          <w:szCs w:val="20"/>
          <w:lang w:val="en-GB"/>
        </w:rPr>
      </w:pPr>
      <w:r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recommendations</w:t>
      </w:r>
      <w:r w:rsidR="00625196" w:rsidRPr="009B39EC">
        <w:rPr>
          <w:rFonts w:ascii="Arial" w:hAnsi="Arial" w:cs="Arial"/>
          <w:b/>
          <w:bCs/>
          <w:sz w:val="20"/>
          <w:szCs w:val="20"/>
          <w:lang w:val="en-GB"/>
        </w:rPr>
        <w:t xml:space="preserve"> 2, 14 </w:t>
      </w:r>
      <w:r w:rsidR="008F090B" w:rsidRPr="009B39EC">
        <w:rPr>
          <w:rFonts w:ascii="Arial" w:hAnsi="Arial" w:cs="Arial"/>
          <w:b/>
          <w:bCs/>
          <w:sz w:val="20"/>
          <w:szCs w:val="20"/>
          <w:lang w:val="en-GB"/>
        </w:rPr>
        <w:t>and</w:t>
      </w:r>
      <w:r w:rsidR="00625196" w:rsidRPr="009B39EC">
        <w:rPr>
          <w:rFonts w:ascii="Arial" w:hAnsi="Arial" w:cs="Arial"/>
          <w:b/>
          <w:bCs/>
          <w:sz w:val="20"/>
          <w:szCs w:val="20"/>
          <w:lang w:val="en-GB"/>
        </w:rPr>
        <w:t xml:space="preserve"> 15</w:t>
      </w:r>
      <w:r w:rsidR="008F090B" w:rsidRPr="009B39EC">
        <w:rPr>
          <w:rFonts w:ascii="Arial" w:hAnsi="Arial" w:cs="Arial"/>
          <w:sz w:val="20"/>
          <w:szCs w:val="20"/>
          <w:lang w:val="en-GB"/>
        </w:rPr>
        <w:t xml:space="preserve"> have been successfully fulfilled through amendments to Law </w:t>
      </w:r>
      <w:r w:rsidR="00014722" w:rsidRPr="009B39EC">
        <w:rPr>
          <w:rFonts w:ascii="Arial" w:hAnsi="Arial" w:cs="Arial"/>
          <w:sz w:val="20"/>
          <w:szCs w:val="20"/>
          <w:lang w:val="en-GB"/>
        </w:rPr>
        <w:t xml:space="preserve">No. </w:t>
      </w:r>
      <w:r w:rsidR="00625196" w:rsidRPr="009B39EC">
        <w:rPr>
          <w:rFonts w:ascii="Arial" w:hAnsi="Arial" w:cs="Arial"/>
          <w:sz w:val="20"/>
          <w:szCs w:val="20"/>
          <w:lang w:val="en-GB"/>
        </w:rPr>
        <w:t>9669/2006 “</w:t>
      </w:r>
      <w:r w:rsidR="008F090B" w:rsidRPr="009B39EC">
        <w:rPr>
          <w:rFonts w:ascii="Arial" w:hAnsi="Arial" w:cs="Arial"/>
          <w:sz w:val="20"/>
          <w:szCs w:val="20"/>
          <w:lang w:val="en-GB"/>
        </w:rPr>
        <w:t>On measures against violence in family relations</w:t>
      </w:r>
      <w:r w:rsidR="00625196" w:rsidRPr="009B39EC">
        <w:rPr>
          <w:rFonts w:ascii="Arial" w:hAnsi="Arial" w:cs="Arial"/>
          <w:sz w:val="20"/>
          <w:szCs w:val="20"/>
          <w:lang w:val="en-GB"/>
        </w:rPr>
        <w:t xml:space="preserve">”, </w:t>
      </w:r>
      <w:r w:rsidR="008F090B" w:rsidRPr="009B39EC">
        <w:rPr>
          <w:rFonts w:ascii="Arial" w:hAnsi="Arial" w:cs="Arial"/>
          <w:sz w:val="20"/>
          <w:szCs w:val="20"/>
          <w:lang w:val="en-GB"/>
        </w:rPr>
        <w:t xml:space="preserve">as amended in </w:t>
      </w:r>
      <w:r w:rsidR="00625196" w:rsidRPr="009B39EC">
        <w:rPr>
          <w:rFonts w:ascii="Arial" w:hAnsi="Arial" w:cs="Arial"/>
          <w:sz w:val="20"/>
          <w:szCs w:val="20"/>
          <w:lang w:val="en-GB"/>
        </w:rPr>
        <w:t xml:space="preserve">2018 </w:t>
      </w:r>
      <w:r w:rsidR="008F090B" w:rsidRPr="009B39EC">
        <w:rPr>
          <w:rFonts w:ascii="Arial" w:hAnsi="Arial" w:cs="Arial"/>
          <w:sz w:val="20"/>
          <w:szCs w:val="20"/>
          <w:lang w:val="en-GB"/>
        </w:rPr>
        <w:t>and</w:t>
      </w:r>
      <w:r w:rsidR="00625196" w:rsidRPr="009B39EC">
        <w:rPr>
          <w:rFonts w:ascii="Arial" w:hAnsi="Arial" w:cs="Arial"/>
          <w:sz w:val="20"/>
          <w:szCs w:val="20"/>
          <w:lang w:val="en-GB"/>
        </w:rPr>
        <w:t xml:space="preserve"> 2020. </w:t>
      </w:r>
      <w:r w:rsidR="008F090B" w:rsidRPr="009B39EC">
        <w:rPr>
          <w:rFonts w:ascii="Arial" w:hAnsi="Arial" w:cs="Arial"/>
          <w:sz w:val="20"/>
          <w:szCs w:val="20"/>
          <w:lang w:val="en-GB"/>
        </w:rPr>
        <w:t>The</w:t>
      </w:r>
      <w:r w:rsidR="003F0B9C" w:rsidRPr="009B39EC">
        <w:rPr>
          <w:rFonts w:ascii="Arial" w:hAnsi="Arial" w:cs="Arial"/>
          <w:sz w:val="20"/>
          <w:szCs w:val="20"/>
          <w:lang w:val="en-GB"/>
        </w:rPr>
        <w:t>se</w:t>
      </w:r>
      <w:r w:rsidR="008F090B" w:rsidRPr="009B39EC">
        <w:rPr>
          <w:rFonts w:ascii="Arial" w:hAnsi="Arial" w:cs="Arial"/>
          <w:sz w:val="20"/>
          <w:szCs w:val="20"/>
          <w:lang w:val="en-GB"/>
        </w:rPr>
        <w:t xml:space="preserve"> improvements consist mainly in</w:t>
      </w:r>
      <w:r w:rsidR="00625196" w:rsidRPr="009B39EC">
        <w:rPr>
          <w:rFonts w:ascii="Arial" w:hAnsi="Arial" w:cs="Arial"/>
          <w:sz w:val="20"/>
          <w:szCs w:val="20"/>
          <w:lang w:val="en-GB"/>
        </w:rPr>
        <w:t xml:space="preserve"> </w:t>
      </w:r>
      <w:r w:rsidR="008F090B" w:rsidRPr="009B39EC">
        <w:rPr>
          <w:rFonts w:ascii="Arial" w:hAnsi="Arial" w:cs="Arial"/>
          <w:b/>
          <w:bCs/>
          <w:i/>
          <w:iCs/>
          <w:sz w:val="20"/>
          <w:szCs w:val="20"/>
          <w:lang w:val="en-GB"/>
        </w:rPr>
        <w:t xml:space="preserve">the alignment of the definition of domestic violence with that of the Istanbul </w:t>
      </w:r>
      <w:r w:rsidR="00C91B33" w:rsidRPr="009B39EC">
        <w:rPr>
          <w:rFonts w:ascii="Arial" w:hAnsi="Arial" w:cs="Arial"/>
          <w:b/>
          <w:bCs/>
          <w:i/>
          <w:iCs/>
          <w:sz w:val="20"/>
          <w:szCs w:val="20"/>
          <w:lang w:val="en-GB"/>
        </w:rPr>
        <w:t>Convention</w:t>
      </w:r>
      <w:r w:rsidR="00625196" w:rsidRPr="009B39EC">
        <w:rPr>
          <w:rFonts w:ascii="Arial" w:hAnsi="Arial" w:cs="Arial"/>
          <w:sz w:val="20"/>
          <w:szCs w:val="20"/>
          <w:lang w:val="en-GB"/>
        </w:rPr>
        <w:t xml:space="preserve"> </w:t>
      </w:r>
      <w:r w:rsidR="008F090B" w:rsidRPr="009B39EC">
        <w:rPr>
          <w:rFonts w:ascii="Arial" w:hAnsi="Arial" w:cs="Arial"/>
          <w:sz w:val="20"/>
          <w:szCs w:val="20"/>
          <w:lang w:val="en-GB"/>
        </w:rPr>
        <w:t>and the addition of the intimate relationship concept</w:t>
      </w:r>
      <w:r w:rsidR="003F0B9C" w:rsidRPr="009B39EC">
        <w:rPr>
          <w:rFonts w:ascii="Arial" w:hAnsi="Arial" w:cs="Arial"/>
          <w:sz w:val="20"/>
          <w:szCs w:val="20"/>
          <w:lang w:val="en-GB"/>
        </w:rPr>
        <w:t>;</w:t>
      </w:r>
      <w:r w:rsidR="008F090B" w:rsidRPr="009B39EC">
        <w:rPr>
          <w:rFonts w:ascii="Arial" w:hAnsi="Arial" w:cs="Arial"/>
          <w:sz w:val="20"/>
          <w:szCs w:val="20"/>
          <w:lang w:val="en-GB"/>
        </w:rPr>
        <w:t xml:space="preserve"> expan</w:t>
      </w:r>
      <w:r w:rsidR="003F0B9C" w:rsidRPr="009B39EC">
        <w:rPr>
          <w:rFonts w:ascii="Arial" w:hAnsi="Arial" w:cs="Arial"/>
          <w:sz w:val="20"/>
          <w:szCs w:val="20"/>
          <w:lang w:val="en-GB"/>
        </w:rPr>
        <w:t xml:space="preserve">sion of </w:t>
      </w:r>
      <w:r w:rsidR="008F090B" w:rsidRPr="009B39EC">
        <w:rPr>
          <w:rFonts w:ascii="Arial" w:hAnsi="Arial" w:cs="Arial"/>
          <w:sz w:val="20"/>
          <w:szCs w:val="20"/>
          <w:lang w:val="en-GB"/>
        </w:rPr>
        <w:t>the categories benefitting from support and improvements to other definitions in this law</w:t>
      </w:r>
      <w:r w:rsidR="003F0B9C" w:rsidRPr="009B39EC">
        <w:rPr>
          <w:rFonts w:ascii="Arial" w:hAnsi="Arial" w:cs="Arial"/>
          <w:sz w:val="20"/>
          <w:szCs w:val="20"/>
          <w:lang w:val="en-GB"/>
        </w:rPr>
        <w:t>;</w:t>
      </w:r>
      <w:r w:rsidR="00625196" w:rsidRPr="009B39EC">
        <w:rPr>
          <w:rFonts w:ascii="Arial" w:hAnsi="Arial" w:cs="Arial"/>
          <w:sz w:val="20"/>
          <w:szCs w:val="20"/>
          <w:lang w:val="en-GB"/>
        </w:rPr>
        <w:t xml:space="preserve"> </w:t>
      </w:r>
      <w:r w:rsidR="008F090B" w:rsidRPr="009B39EC">
        <w:rPr>
          <w:rFonts w:ascii="Arial" w:hAnsi="Arial" w:cs="Arial"/>
          <w:sz w:val="20"/>
          <w:szCs w:val="20"/>
          <w:lang w:val="en-GB"/>
        </w:rPr>
        <w:t>improvement of the existing protection measures by better defining procedural deadlines</w:t>
      </w:r>
      <w:r w:rsidR="003F0B9C" w:rsidRPr="009B39EC">
        <w:rPr>
          <w:rFonts w:ascii="Arial" w:hAnsi="Arial" w:cs="Arial"/>
          <w:sz w:val="20"/>
          <w:szCs w:val="20"/>
          <w:lang w:val="en-GB"/>
        </w:rPr>
        <w:t>;</w:t>
      </w:r>
      <w:r w:rsidR="008F090B" w:rsidRPr="009B39EC">
        <w:rPr>
          <w:rFonts w:ascii="Arial" w:hAnsi="Arial" w:cs="Arial"/>
          <w:sz w:val="20"/>
          <w:szCs w:val="20"/>
          <w:lang w:val="en-GB"/>
        </w:rPr>
        <w:t xml:space="preserve"> the addition of a new </w:t>
      </w:r>
      <w:r w:rsidR="003F0B9C" w:rsidRPr="009B39EC">
        <w:rPr>
          <w:rFonts w:ascii="Arial" w:hAnsi="Arial" w:cs="Arial"/>
          <w:sz w:val="20"/>
          <w:szCs w:val="20"/>
          <w:lang w:val="en-GB"/>
        </w:rPr>
        <w:t xml:space="preserve">type of </w:t>
      </w:r>
      <w:r w:rsidR="008F090B" w:rsidRPr="009B39EC">
        <w:rPr>
          <w:rFonts w:ascii="Arial" w:hAnsi="Arial" w:cs="Arial"/>
          <w:sz w:val="20"/>
          <w:szCs w:val="20"/>
          <w:lang w:val="en-GB"/>
        </w:rPr>
        <w:t xml:space="preserve">protection order, namely, </w:t>
      </w:r>
      <w:r w:rsidR="003F0B9C" w:rsidRPr="009B39EC">
        <w:rPr>
          <w:rFonts w:ascii="Arial" w:hAnsi="Arial" w:cs="Arial"/>
          <w:sz w:val="20"/>
          <w:szCs w:val="20"/>
          <w:lang w:val="en-GB"/>
        </w:rPr>
        <w:t xml:space="preserve">the </w:t>
      </w:r>
      <w:r w:rsidR="003F0B9C" w:rsidRPr="009B39EC">
        <w:rPr>
          <w:rFonts w:ascii="Arial" w:hAnsi="Arial" w:cs="Arial"/>
          <w:b/>
          <w:bCs/>
          <w:i/>
          <w:iCs/>
          <w:sz w:val="20"/>
          <w:szCs w:val="20"/>
          <w:lang w:val="en-GB"/>
        </w:rPr>
        <w:t>Order for Preliminary Protection Measures</w:t>
      </w:r>
      <w:r w:rsidR="003F0B9C" w:rsidRPr="009B39EC">
        <w:rPr>
          <w:rFonts w:ascii="Arial" w:hAnsi="Arial" w:cs="Arial"/>
          <w:sz w:val="20"/>
          <w:szCs w:val="20"/>
          <w:lang w:val="en-GB"/>
        </w:rPr>
        <w:t xml:space="preserve"> </w:t>
      </w:r>
      <w:r w:rsidR="008F090B" w:rsidRPr="009B39EC">
        <w:rPr>
          <w:rFonts w:ascii="Arial" w:hAnsi="Arial" w:cs="Arial"/>
          <w:sz w:val="20"/>
          <w:szCs w:val="20"/>
          <w:lang w:val="en-GB"/>
        </w:rPr>
        <w:t xml:space="preserve">which is issued on the basis of a </w:t>
      </w:r>
      <w:r w:rsidR="008F090B" w:rsidRPr="009B39EC">
        <w:rPr>
          <w:rFonts w:ascii="Arial" w:hAnsi="Arial" w:cs="Arial"/>
          <w:b/>
          <w:bCs/>
          <w:i/>
          <w:iCs/>
          <w:sz w:val="20"/>
          <w:szCs w:val="20"/>
          <w:lang w:val="en-GB"/>
        </w:rPr>
        <w:t>mandatory risk assessment procedure</w:t>
      </w:r>
      <w:r w:rsidR="003F0B9C" w:rsidRPr="009B39EC">
        <w:rPr>
          <w:rFonts w:ascii="Arial" w:hAnsi="Arial" w:cs="Arial"/>
          <w:sz w:val="20"/>
          <w:szCs w:val="20"/>
          <w:lang w:val="en-GB"/>
        </w:rPr>
        <w:t>;</w:t>
      </w:r>
      <w:r w:rsidR="00625196" w:rsidRPr="009B39EC">
        <w:rPr>
          <w:rFonts w:ascii="Arial" w:hAnsi="Arial" w:cs="Arial"/>
          <w:sz w:val="20"/>
          <w:szCs w:val="20"/>
          <w:lang w:val="en-GB"/>
        </w:rPr>
        <w:t xml:space="preserve"> </w:t>
      </w:r>
      <w:r w:rsidR="008F090B" w:rsidRPr="009B39EC">
        <w:rPr>
          <w:rFonts w:ascii="Arial" w:hAnsi="Arial" w:cs="Arial"/>
          <w:sz w:val="20"/>
          <w:szCs w:val="20"/>
          <w:lang w:val="en-GB"/>
        </w:rPr>
        <w:t>further clarification of the obligations and responsibilities of implementing institutions</w:t>
      </w:r>
      <w:r w:rsidR="00125ABB" w:rsidRPr="009B39EC">
        <w:rPr>
          <w:rFonts w:ascii="Arial" w:hAnsi="Arial" w:cs="Arial"/>
          <w:sz w:val="20"/>
          <w:szCs w:val="20"/>
          <w:lang w:val="en-GB"/>
        </w:rPr>
        <w:t xml:space="preserve"> </w:t>
      </w:r>
      <w:r w:rsidR="007C684F" w:rsidRPr="009B39EC">
        <w:rPr>
          <w:rFonts w:ascii="Arial" w:hAnsi="Arial" w:cs="Arial"/>
          <w:sz w:val="20"/>
          <w:szCs w:val="20"/>
          <w:lang w:val="en-GB"/>
        </w:rPr>
        <w:t>based on</w:t>
      </w:r>
      <w:r w:rsidR="00125ABB" w:rsidRPr="009B39EC">
        <w:rPr>
          <w:rFonts w:ascii="Arial" w:hAnsi="Arial" w:cs="Arial"/>
          <w:sz w:val="20"/>
          <w:szCs w:val="20"/>
          <w:lang w:val="en-GB"/>
        </w:rPr>
        <w:t xml:space="preserve"> </w:t>
      </w:r>
      <w:r w:rsidR="008F090B" w:rsidRPr="009B39EC">
        <w:rPr>
          <w:rFonts w:ascii="Arial" w:hAnsi="Arial" w:cs="Arial"/>
          <w:sz w:val="20"/>
          <w:szCs w:val="20"/>
          <w:lang w:val="en-GB"/>
        </w:rPr>
        <w:t xml:space="preserve">the issues encountered </w:t>
      </w:r>
      <w:r w:rsidR="007C684F" w:rsidRPr="009B39EC">
        <w:rPr>
          <w:rFonts w:ascii="Arial" w:hAnsi="Arial" w:cs="Arial"/>
          <w:sz w:val="20"/>
          <w:szCs w:val="20"/>
          <w:lang w:val="en-GB"/>
        </w:rPr>
        <w:t>during</w:t>
      </w:r>
      <w:r w:rsidR="00125ABB" w:rsidRPr="009B39EC">
        <w:rPr>
          <w:rFonts w:ascii="Arial" w:hAnsi="Arial" w:cs="Arial"/>
          <w:sz w:val="20"/>
          <w:szCs w:val="20"/>
          <w:lang w:val="en-GB"/>
        </w:rPr>
        <w:t xml:space="preserve"> the </w:t>
      </w:r>
      <w:r w:rsidR="005C3F9A" w:rsidRPr="009B39EC">
        <w:rPr>
          <w:rFonts w:ascii="Arial" w:hAnsi="Arial" w:cs="Arial"/>
          <w:sz w:val="20"/>
          <w:szCs w:val="20"/>
          <w:lang w:val="en-GB"/>
        </w:rPr>
        <w:t xml:space="preserve">implementation and </w:t>
      </w:r>
      <w:r w:rsidR="00125ABB" w:rsidRPr="009B39EC">
        <w:rPr>
          <w:rFonts w:ascii="Arial" w:hAnsi="Arial" w:cs="Arial"/>
          <w:sz w:val="20"/>
          <w:szCs w:val="20"/>
          <w:lang w:val="en-GB"/>
        </w:rPr>
        <w:t>enforcement of the existing law in</w:t>
      </w:r>
      <w:r w:rsidR="007C684F" w:rsidRPr="009B39EC">
        <w:rPr>
          <w:rFonts w:ascii="Arial" w:hAnsi="Arial" w:cs="Arial"/>
          <w:sz w:val="20"/>
          <w:szCs w:val="20"/>
          <w:lang w:val="en-GB"/>
        </w:rPr>
        <w:t xml:space="preserve"> practice</w:t>
      </w:r>
      <w:r w:rsidR="005C3F9A" w:rsidRPr="009B39EC">
        <w:rPr>
          <w:rFonts w:ascii="Arial" w:hAnsi="Arial" w:cs="Arial"/>
          <w:sz w:val="20"/>
          <w:szCs w:val="20"/>
          <w:lang w:val="en-GB"/>
        </w:rPr>
        <w:t>;</w:t>
      </w:r>
      <w:r w:rsidR="00125ABB" w:rsidRPr="009B39EC">
        <w:rPr>
          <w:rFonts w:ascii="Arial" w:hAnsi="Arial" w:cs="Arial"/>
          <w:sz w:val="20"/>
          <w:szCs w:val="20"/>
          <w:lang w:val="en-GB"/>
        </w:rPr>
        <w:t xml:space="preserve"> a provision on the obligation of state bodies to </w:t>
      </w:r>
      <w:r w:rsidR="007C684F" w:rsidRPr="009B39EC">
        <w:rPr>
          <w:rFonts w:ascii="Arial" w:hAnsi="Arial" w:cs="Arial"/>
          <w:sz w:val="20"/>
          <w:szCs w:val="20"/>
          <w:lang w:val="en-GB"/>
        </w:rPr>
        <w:t xml:space="preserve">make available all </w:t>
      </w:r>
      <w:r w:rsidR="00125ABB" w:rsidRPr="009B39EC">
        <w:rPr>
          <w:rFonts w:ascii="Arial" w:hAnsi="Arial" w:cs="Arial"/>
          <w:sz w:val="20"/>
          <w:szCs w:val="20"/>
          <w:lang w:val="en-GB"/>
        </w:rPr>
        <w:t>expert services in domestic abuse cases free-of-charge</w:t>
      </w:r>
      <w:r w:rsidR="005C3F9A" w:rsidRPr="009B39EC">
        <w:rPr>
          <w:rFonts w:ascii="Arial" w:hAnsi="Arial" w:cs="Arial"/>
          <w:sz w:val="20"/>
          <w:szCs w:val="20"/>
          <w:lang w:val="en-GB"/>
        </w:rPr>
        <w:t>;</w:t>
      </w:r>
      <w:r w:rsidR="00625196" w:rsidRPr="009B39EC">
        <w:rPr>
          <w:rFonts w:ascii="Arial" w:hAnsi="Arial" w:cs="Arial"/>
          <w:sz w:val="20"/>
          <w:szCs w:val="20"/>
          <w:lang w:val="en-GB"/>
        </w:rPr>
        <w:t xml:space="preserve"> </w:t>
      </w:r>
      <w:r w:rsidR="00125ABB" w:rsidRPr="009B39EC">
        <w:rPr>
          <w:rFonts w:ascii="Arial" w:hAnsi="Arial" w:cs="Arial"/>
          <w:sz w:val="20"/>
          <w:szCs w:val="20"/>
          <w:lang w:val="en-GB"/>
        </w:rPr>
        <w:t>increased free legal assistance in courts</w:t>
      </w:r>
      <w:r w:rsidR="005C3F9A" w:rsidRPr="009B39EC">
        <w:rPr>
          <w:rFonts w:ascii="Arial" w:hAnsi="Arial" w:cs="Arial"/>
          <w:sz w:val="20"/>
          <w:szCs w:val="20"/>
          <w:lang w:val="en-GB"/>
        </w:rPr>
        <w:t>;</w:t>
      </w:r>
      <w:r w:rsidR="00625196" w:rsidRPr="009B39EC">
        <w:rPr>
          <w:rFonts w:ascii="Arial" w:hAnsi="Arial" w:cs="Arial"/>
          <w:sz w:val="20"/>
          <w:szCs w:val="20"/>
          <w:lang w:val="en-GB"/>
        </w:rPr>
        <w:t xml:space="preserve"> </w:t>
      </w:r>
      <w:r w:rsidR="00125ABB" w:rsidRPr="009B39EC">
        <w:rPr>
          <w:rFonts w:ascii="Arial" w:hAnsi="Arial" w:cs="Arial"/>
          <w:b/>
          <w:bCs/>
          <w:i/>
          <w:iCs/>
          <w:sz w:val="20"/>
          <w:szCs w:val="20"/>
          <w:lang w:val="en-GB"/>
        </w:rPr>
        <w:t>increased specialised support services focusing on specific forms of violence against women, such as sexual violence</w:t>
      </w:r>
      <w:r w:rsidR="00625196" w:rsidRPr="009B39EC">
        <w:rPr>
          <w:rFonts w:ascii="Arial" w:hAnsi="Arial" w:cs="Arial"/>
          <w:sz w:val="20"/>
          <w:szCs w:val="20"/>
          <w:lang w:val="en-GB"/>
        </w:rPr>
        <w:t xml:space="preserve">, </w:t>
      </w:r>
      <w:r w:rsidR="00125ABB" w:rsidRPr="009B39EC">
        <w:rPr>
          <w:rFonts w:ascii="Arial" w:hAnsi="Arial" w:cs="Arial"/>
          <w:sz w:val="20"/>
          <w:szCs w:val="20"/>
          <w:lang w:val="en-GB"/>
        </w:rPr>
        <w:t xml:space="preserve">increased participation of </w:t>
      </w:r>
      <w:r w:rsidR="007C684F" w:rsidRPr="009B39EC">
        <w:rPr>
          <w:rFonts w:ascii="Arial" w:hAnsi="Arial" w:cs="Arial"/>
          <w:sz w:val="20"/>
          <w:szCs w:val="20"/>
          <w:lang w:val="en-GB"/>
        </w:rPr>
        <w:t>perpetrators</w:t>
      </w:r>
      <w:r w:rsidR="00125ABB" w:rsidRPr="009B39EC">
        <w:rPr>
          <w:rFonts w:ascii="Arial" w:hAnsi="Arial" w:cs="Arial"/>
          <w:sz w:val="20"/>
          <w:szCs w:val="20"/>
          <w:lang w:val="en-GB"/>
        </w:rPr>
        <w:t xml:space="preserve"> in </w:t>
      </w:r>
      <w:r w:rsidR="005C3F9A" w:rsidRPr="009B39EC">
        <w:rPr>
          <w:rFonts w:ascii="Arial" w:hAnsi="Arial" w:cs="Arial"/>
          <w:sz w:val="20"/>
          <w:szCs w:val="20"/>
          <w:lang w:val="en-GB"/>
        </w:rPr>
        <w:t>targeted</w:t>
      </w:r>
      <w:r w:rsidR="00125ABB" w:rsidRPr="009B39EC">
        <w:rPr>
          <w:rFonts w:ascii="Arial" w:hAnsi="Arial" w:cs="Arial"/>
          <w:sz w:val="20"/>
          <w:szCs w:val="20"/>
          <w:lang w:val="en-GB"/>
        </w:rPr>
        <w:t xml:space="preserve"> rehabilitation services with a special focus on</w:t>
      </w:r>
      <w:r w:rsidR="00C63750" w:rsidRPr="009B39EC">
        <w:rPr>
          <w:rFonts w:ascii="Arial" w:hAnsi="Arial" w:cs="Arial"/>
          <w:sz w:val="20"/>
          <w:szCs w:val="20"/>
          <w:lang w:val="en-GB"/>
        </w:rPr>
        <w:t xml:space="preserve"> abusers who are alcoholics, drug addicts or have mental health issues</w:t>
      </w:r>
      <w:r w:rsidR="00625196" w:rsidRPr="009B39EC">
        <w:rPr>
          <w:rFonts w:ascii="Arial" w:hAnsi="Arial" w:cs="Arial"/>
          <w:sz w:val="20"/>
          <w:szCs w:val="20"/>
          <w:lang w:val="en-GB"/>
        </w:rPr>
        <w:t xml:space="preserve">; </w:t>
      </w:r>
      <w:r w:rsidR="00C63750" w:rsidRPr="009B39EC">
        <w:rPr>
          <w:rFonts w:ascii="Arial" w:hAnsi="Arial" w:cs="Arial"/>
          <w:sz w:val="20"/>
          <w:szCs w:val="20"/>
          <w:lang w:val="en-GB"/>
        </w:rPr>
        <w:t xml:space="preserve">the immediate removal of the abuser from the </w:t>
      </w:r>
      <w:r w:rsidR="005C3F9A" w:rsidRPr="009B39EC">
        <w:rPr>
          <w:rFonts w:ascii="Arial" w:hAnsi="Arial" w:cs="Arial"/>
          <w:sz w:val="20"/>
          <w:szCs w:val="20"/>
          <w:lang w:val="en-GB"/>
        </w:rPr>
        <w:t xml:space="preserve">family </w:t>
      </w:r>
      <w:r w:rsidR="00C63750" w:rsidRPr="009B39EC">
        <w:rPr>
          <w:rFonts w:ascii="Arial" w:hAnsi="Arial" w:cs="Arial"/>
          <w:sz w:val="20"/>
          <w:szCs w:val="20"/>
          <w:lang w:val="en-GB"/>
        </w:rPr>
        <w:t xml:space="preserve">home and prohibiting his return until </w:t>
      </w:r>
      <w:r w:rsidR="007C684F" w:rsidRPr="009B39EC">
        <w:rPr>
          <w:rFonts w:ascii="Arial" w:hAnsi="Arial" w:cs="Arial"/>
          <w:sz w:val="20"/>
          <w:szCs w:val="20"/>
          <w:lang w:val="en-GB"/>
        </w:rPr>
        <w:t xml:space="preserve">a </w:t>
      </w:r>
      <w:r w:rsidR="00C63750" w:rsidRPr="009B39EC">
        <w:rPr>
          <w:rFonts w:ascii="Arial" w:hAnsi="Arial" w:cs="Arial"/>
          <w:sz w:val="20"/>
          <w:szCs w:val="20"/>
          <w:lang w:val="en-GB"/>
        </w:rPr>
        <w:t xml:space="preserve">further </w:t>
      </w:r>
      <w:r w:rsidR="007C684F" w:rsidRPr="009B39EC">
        <w:rPr>
          <w:rFonts w:ascii="Arial" w:hAnsi="Arial" w:cs="Arial"/>
          <w:sz w:val="20"/>
          <w:szCs w:val="20"/>
          <w:lang w:val="en-GB"/>
        </w:rPr>
        <w:t xml:space="preserve">court </w:t>
      </w:r>
      <w:r w:rsidR="005C3F9A" w:rsidRPr="009B39EC">
        <w:rPr>
          <w:rFonts w:ascii="Arial" w:hAnsi="Arial" w:cs="Arial"/>
          <w:sz w:val="20"/>
          <w:szCs w:val="20"/>
          <w:lang w:val="en-GB"/>
        </w:rPr>
        <w:t>decision</w:t>
      </w:r>
      <w:r w:rsidR="00625196" w:rsidRPr="009B39EC">
        <w:rPr>
          <w:rFonts w:ascii="Arial" w:hAnsi="Arial" w:cs="Arial"/>
          <w:sz w:val="20"/>
          <w:szCs w:val="20"/>
          <w:lang w:val="en-GB"/>
        </w:rPr>
        <w:t xml:space="preserve">; </w:t>
      </w:r>
      <w:r w:rsidR="00C63750" w:rsidRPr="009B39EC">
        <w:rPr>
          <w:rFonts w:ascii="Arial" w:hAnsi="Arial" w:cs="Arial"/>
          <w:sz w:val="20"/>
          <w:szCs w:val="20"/>
          <w:lang w:val="en-GB"/>
        </w:rPr>
        <w:t xml:space="preserve">taking into account of </w:t>
      </w:r>
      <w:r w:rsidR="007C684F" w:rsidRPr="009B39EC">
        <w:rPr>
          <w:rFonts w:ascii="Arial" w:hAnsi="Arial" w:cs="Arial"/>
          <w:sz w:val="20"/>
          <w:szCs w:val="20"/>
          <w:lang w:val="en-GB"/>
        </w:rPr>
        <w:t xml:space="preserve">state of </w:t>
      </w:r>
      <w:r w:rsidR="00C63750" w:rsidRPr="009B39EC">
        <w:rPr>
          <w:rFonts w:ascii="Arial" w:hAnsi="Arial" w:cs="Arial"/>
          <w:sz w:val="20"/>
          <w:szCs w:val="20"/>
          <w:lang w:val="en-GB"/>
        </w:rPr>
        <w:t>emergency situations (such as</w:t>
      </w:r>
      <w:r w:rsidR="00625196" w:rsidRPr="009B39EC">
        <w:rPr>
          <w:rFonts w:ascii="Arial" w:hAnsi="Arial" w:cs="Arial"/>
          <w:sz w:val="20"/>
          <w:szCs w:val="20"/>
          <w:lang w:val="en-GB"/>
        </w:rPr>
        <w:t xml:space="preserve"> </w:t>
      </w:r>
      <w:r w:rsidR="00C63750" w:rsidRPr="009B39EC">
        <w:rPr>
          <w:rFonts w:ascii="Arial" w:hAnsi="Arial" w:cs="Arial"/>
          <w:sz w:val="20"/>
          <w:szCs w:val="20"/>
          <w:lang w:val="en-GB"/>
        </w:rPr>
        <w:t xml:space="preserve">the </w:t>
      </w:r>
      <w:r w:rsidR="00625196" w:rsidRPr="009B39EC">
        <w:rPr>
          <w:rFonts w:ascii="Arial" w:hAnsi="Arial" w:cs="Arial"/>
          <w:sz w:val="20"/>
          <w:szCs w:val="20"/>
          <w:lang w:val="en-GB"/>
        </w:rPr>
        <w:t>Covid-19</w:t>
      </w:r>
      <w:r w:rsidR="00C63750" w:rsidRPr="009B39EC">
        <w:rPr>
          <w:rFonts w:ascii="Arial" w:hAnsi="Arial" w:cs="Arial"/>
          <w:sz w:val="20"/>
          <w:szCs w:val="20"/>
          <w:lang w:val="en-GB"/>
        </w:rPr>
        <w:t xml:space="preserve"> pandemic</w:t>
      </w:r>
      <w:r w:rsidR="00625196" w:rsidRPr="009B39EC">
        <w:rPr>
          <w:rFonts w:ascii="Arial" w:hAnsi="Arial" w:cs="Arial"/>
          <w:sz w:val="20"/>
          <w:szCs w:val="20"/>
          <w:lang w:val="en-GB"/>
        </w:rPr>
        <w:t xml:space="preserve">) </w:t>
      </w:r>
      <w:r w:rsidR="00C63750" w:rsidRPr="009B39EC">
        <w:rPr>
          <w:rFonts w:ascii="Arial" w:hAnsi="Arial" w:cs="Arial"/>
          <w:sz w:val="20"/>
          <w:szCs w:val="20"/>
          <w:lang w:val="en-GB"/>
        </w:rPr>
        <w:t>and</w:t>
      </w:r>
      <w:r w:rsidR="005C3F9A" w:rsidRPr="009B39EC">
        <w:rPr>
          <w:rFonts w:ascii="Arial" w:hAnsi="Arial" w:cs="Arial"/>
          <w:sz w:val="20"/>
          <w:szCs w:val="20"/>
          <w:lang w:val="en-GB"/>
        </w:rPr>
        <w:t xml:space="preserve"> </w:t>
      </w:r>
      <w:r w:rsidR="00C63750" w:rsidRPr="009B39EC">
        <w:rPr>
          <w:rFonts w:ascii="Arial" w:hAnsi="Arial" w:cs="Arial"/>
          <w:sz w:val="20"/>
          <w:szCs w:val="20"/>
          <w:lang w:val="en-GB"/>
        </w:rPr>
        <w:t>accelerat</w:t>
      </w:r>
      <w:r w:rsidR="007C684F" w:rsidRPr="009B39EC">
        <w:rPr>
          <w:rFonts w:ascii="Arial" w:hAnsi="Arial" w:cs="Arial"/>
          <w:sz w:val="20"/>
          <w:szCs w:val="20"/>
          <w:lang w:val="en-GB"/>
        </w:rPr>
        <w:t>ed</w:t>
      </w:r>
      <w:r w:rsidR="00C63750" w:rsidRPr="009B39EC">
        <w:rPr>
          <w:rFonts w:ascii="Arial" w:hAnsi="Arial" w:cs="Arial"/>
          <w:sz w:val="20"/>
          <w:szCs w:val="20"/>
          <w:lang w:val="en-GB"/>
        </w:rPr>
        <w:t xml:space="preserve"> actions and procedures for the</w:t>
      </w:r>
      <w:r w:rsidR="00823895" w:rsidRPr="009B39EC">
        <w:rPr>
          <w:rFonts w:ascii="Arial" w:hAnsi="Arial" w:cs="Arial"/>
          <w:sz w:val="20"/>
          <w:szCs w:val="20"/>
          <w:lang w:val="en-GB"/>
        </w:rPr>
        <w:t xml:space="preserve"> emergency protection </w:t>
      </w:r>
      <w:r w:rsidR="00C63750" w:rsidRPr="009B39EC">
        <w:rPr>
          <w:rFonts w:ascii="Arial" w:hAnsi="Arial" w:cs="Arial"/>
          <w:sz w:val="20"/>
          <w:szCs w:val="20"/>
          <w:lang w:val="en-GB"/>
        </w:rPr>
        <w:t xml:space="preserve">of women and children abused </w:t>
      </w:r>
      <w:r w:rsidR="005C3F9A" w:rsidRPr="009B39EC">
        <w:rPr>
          <w:rFonts w:ascii="Arial" w:hAnsi="Arial" w:cs="Arial"/>
          <w:sz w:val="20"/>
          <w:szCs w:val="20"/>
          <w:lang w:val="en-GB"/>
        </w:rPr>
        <w:t>in a domestic environment</w:t>
      </w:r>
      <w:r w:rsidR="00C63750" w:rsidRPr="009B39EC">
        <w:rPr>
          <w:rFonts w:ascii="Arial" w:hAnsi="Arial" w:cs="Arial"/>
          <w:sz w:val="20"/>
          <w:szCs w:val="20"/>
          <w:lang w:val="en-GB"/>
        </w:rPr>
        <w:t>, etc</w:t>
      </w:r>
      <w:r w:rsidR="00625196" w:rsidRPr="009B39EC">
        <w:rPr>
          <w:rFonts w:ascii="Arial" w:hAnsi="Arial" w:cs="Arial"/>
          <w:sz w:val="20"/>
          <w:szCs w:val="20"/>
          <w:lang w:val="en-GB"/>
        </w:rPr>
        <w:t>.</w:t>
      </w:r>
      <w:r w:rsidR="0035265B" w:rsidRPr="009B39EC">
        <w:rPr>
          <w:rFonts w:ascii="Arial" w:hAnsi="Arial" w:cs="Arial"/>
          <w:sz w:val="20"/>
          <w:szCs w:val="20"/>
        </w:rPr>
        <w:t xml:space="preserve"> </w:t>
      </w:r>
      <w:r w:rsidR="0035265B" w:rsidRPr="009B39EC">
        <w:rPr>
          <w:rFonts w:ascii="Arial" w:hAnsi="Arial" w:cs="Arial"/>
          <w:sz w:val="20"/>
          <w:szCs w:val="20"/>
          <w:lang w:val="en-GB"/>
        </w:rPr>
        <w:t>The Commissioner for Protection against Discrimination has also played an important role in this regard.</w:t>
      </w:r>
      <w:r w:rsidR="00625196" w:rsidRPr="009B39EC">
        <w:rPr>
          <w:rFonts w:ascii="Arial" w:hAnsi="Arial" w:cs="Arial"/>
          <w:sz w:val="20"/>
          <w:szCs w:val="20"/>
          <w:lang w:val="en-GB"/>
        </w:rPr>
        <w:t xml:space="preserve"> </w:t>
      </w:r>
      <w:r w:rsidR="0035265B" w:rsidRPr="009B39EC">
        <w:rPr>
          <w:rFonts w:ascii="Arial" w:hAnsi="Arial" w:cs="Arial"/>
          <w:sz w:val="20"/>
          <w:szCs w:val="20"/>
          <w:lang w:val="en-GB"/>
        </w:rPr>
        <w:t xml:space="preserve">Through letter no. 615 Prot., dated 26.05.2020, the CPD has recommended that in article 1 "Purpose" of Law no. 9669/2006 “On Measures against violence in family relations”, to add the term, </w:t>
      </w:r>
      <w:r w:rsidR="0035265B" w:rsidRPr="009B39EC">
        <w:rPr>
          <w:rFonts w:ascii="Arial" w:hAnsi="Arial" w:cs="Arial"/>
          <w:b/>
          <w:bCs/>
          <w:i/>
          <w:iCs/>
          <w:sz w:val="20"/>
          <w:szCs w:val="20"/>
          <w:lang w:val="en-GB"/>
        </w:rPr>
        <w:t>“women”:</w:t>
      </w:r>
      <w:r w:rsidR="0035265B" w:rsidRPr="009B39EC">
        <w:rPr>
          <w:rFonts w:ascii="Arial" w:hAnsi="Arial" w:cs="Arial"/>
          <w:sz w:val="20"/>
          <w:szCs w:val="20"/>
          <w:lang w:val="en-GB"/>
        </w:rPr>
        <w:t xml:space="preserve"> “Guaranteeing the protection with legal measures and other necessary measures of family members who are victims of domestic violence, paying special attention to children, the elderly and persons with disabilities, </w:t>
      </w:r>
      <w:r w:rsidR="0035265B" w:rsidRPr="009B39EC">
        <w:rPr>
          <w:rFonts w:ascii="Arial" w:hAnsi="Arial" w:cs="Arial"/>
          <w:b/>
          <w:bCs/>
          <w:i/>
          <w:iCs/>
          <w:sz w:val="20"/>
          <w:szCs w:val="20"/>
          <w:lang w:val="en-GB"/>
        </w:rPr>
        <w:t>women</w:t>
      </w:r>
      <w:r w:rsidR="0035265B" w:rsidRPr="009B39EC">
        <w:rPr>
          <w:rFonts w:ascii="Arial" w:hAnsi="Arial" w:cs="Arial"/>
          <w:sz w:val="20"/>
          <w:szCs w:val="20"/>
          <w:lang w:val="en-GB"/>
        </w:rPr>
        <w:t>, as well as to any individual, subject to this law, according to its article 3, which presents special protection needs. "</w:t>
      </w:r>
      <w:r w:rsidR="0035265B" w:rsidRPr="009B39EC">
        <w:rPr>
          <w:rFonts w:ascii="Arial" w:hAnsi="Arial" w:cs="Arial"/>
          <w:sz w:val="20"/>
          <w:szCs w:val="20"/>
        </w:rPr>
        <w:t xml:space="preserve"> </w:t>
      </w:r>
      <w:r w:rsidR="0035265B" w:rsidRPr="009B39EC">
        <w:rPr>
          <w:rFonts w:ascii="Arial" w:hAnsi="Arial" w:cs="Arial"/>
          <w:sz w:val="20"/>
          <w:szCs w:val="20"/>
          <w:lang w:val="en-GB"/>
        </w:rPr>
        <w:t>The CPD has also recommended that in Article 21 of this Law, in "Appeal" which provides that: "Against the decision of the court to issue a protection order and the confirmation of the immediate protection order can be appealed. The appeal is submitted within 5 days from the announcement of the decision or from the day of notification", to remove the term "from the day of announcement of the decision" because according to the provisions of the Code of Civil Procedures the start of appeal deadlines, according to 2017 changes is made by the next day of the notification of the reasoned decision and not from the moment of the announcement.</w:t>
      </w:r>
      <w:r w:rsidR="00E44439" w:rsidRPr="009B39EC">
        <w:rPr>
          <w:rFonts w:ascii="Arial" w:hAnsi="Arial" w:cs="Arial"/>
          <w:sz w:val="20"/>
          <w:szCs w:val="20"/>
        </w:rPr>
        <w:t xml:space="preserve"> </w:t>
      </w:r>
      <w:r w:rsidR="00E44439" w:rsidRPr="009B39EC">
        <w:rPr>
          <w:rFonts w:ascii="Arial" w:hAnsi="Arial" w:cs="Arial"/>
          <w:sz w:val="20"/>
          <w:szCs w:val="20"/>
          <w:lang w:val="en-GB"/>
        </w:rPr>
        <w:t>Whereas the proposal to add the definition of "violence against women", which means: "As a violation of human rights and a form of discrimination against women that implies all acts of gender-based violence that lead or may lead to harm or physical suffering, sexual, psychological or economic harm to women, including threats to commit such acts, coercion or arbitrary deprivation of liberty, whether in public or private life” was not reflected in the new legal changes.</w:t>
      </w:r>
    </w:p>
    <w:p w14:paraId="2ABC2195" w14:textId="6AB6F287" w:rsidR="00625196" w:rsidRPr="009B39EC" w:rsidRDefault="00C63750" w:rsidP="00625196">
      <w:pPr>
        <w:jc w:val="both"/>
        <w:rPr>
          <w:rFonts w:ascii="Arial" w:hAnsi="Arial" w:cs="Arial"/>
          <w:sz w:val="20"/>
          <w:szCs w:val="20"/>
          <w:lang w:val="en-GB"/>
        </w:rPr>
      </w:pPr>
      <w:r w:rsidRPr="009B39EC">
        <w:rPr>
          <w:rFonts w:ascii="Arial" w:hAnsi="Arial" w:cs="Arial"/>
          <w:sz w:val="20"/>
          <w:szCs w:val="20"/>
          <w:lang w:val="en-GB"/>
        </w:rPr>
        <w:t xml:space="preserve">Work is under way for the correct implementation of this legal framework in practice, and the </w:t>
      </w:r>
      <w:r w:rsidRPr="009B39EC">
        <w:rPr>
          <w:rFonts w:ascii="Arial" w:hAnsi="Arial" w:cs="Arial"/>
          <w:b/>
          <w:bCs/>
          <w:i/>
          <w:iCs/>
          <w:sz w:val="20"/>
          <w:szCs w:val="20"/>
          <w:lang w:val="en-GB"/>
        </w:rPr>
        <w:t xml:space="preserve">Decision of the Council of Ministers on the functioning of the Coordinated Referral Mechanism </w:t>
      </w:r>
      <w:r w:rsidR="00373667" w:rsidRPr="009B39EC">
        <w:rPr>
          <w:rFonts w:ascii="Arial" w:hAnsi="Arial" w:cs="Arial"/>
          <w:b/>
          <w:bCs/>
          <w:i/>
          <w:iCs/>
          <w:sz w:val="20"/>
          <w:szCs w:val="20"/>
          <w:lang w:val="en-GB"/>
        </w:rPr>
        <w:t>against</w:t>
      </w:r>
      <w:r w:rsidR="001C1CA3" w:rsidRPr="009B39EC">
        <w:rPr>
          <w:rFonts w:ascii="Arial" w:hAnsi="Arial" w:cs="Arial"/>
          <w:b/>
          <w:bCs/>
          <w:i/>
          <w:iCs/>
          <w:sz w:val="20"/>
          <w:szCs w:val="20"/>
          <w:lang w:val="en-GB"/>
        </w:rPr>
        <w:t xml:space="preserve"> domestic violence cases </w:t>
      </w:r>
      <w:r w:rsidR="00373667" w:rsidRPr="009B39EC">
        <w:rPr>
          <w:rFonts w:ascii="Arial" w:hAnsi="Arial" w:cs="Arial"/>
          <w:b/>
          <w:bCs/>
          <w:i/>
          <w:iCs/>
          <w:sz w:val="20"/>
          <w:szCs w:val="20"/>
          <w:lang w:val="en-GB"/>
        </w:rPr>
        <w:t>at the national level</w:t>
      </w:r>
      <w:r w:rsidR="001C1CA3" w:rsidRPr="009B39EC">
        <w:rPr>
          <w:rFonts w:ascii="Arial" w:hAnsi="Arial" w:cs="Arial"/>
          <w:b/>
          <w:bCs/>
          <w:i/>
          <w:iCs/>
          <w:sz w:val="20"/>
          <w:szCs w:val="20"/>
          <w:lang w:val="en-GB"/>
        </w:rPr>
        <w:t>, which was adopted very recently at the beginning of June</w:t>
      </w:r>
      <w:r w:rsidR="000A542A" w:rsidRPr="009B39EC">
        <w:rPr>
          <w:rFonts w:ascii="Arial" w:hAnsi="Arial" w:cs="Arial"/>
          <w:b/>
          <w:bCs/>
          <w:i/>
          <w:iCs/>
          <w:sz w:val="20"/>
          <w:szCs w:val="20"/>
          <w:lang w:val="en-GB"/>
        </w:rPr>
        <w:t xml:space="preserve"> </w:t>
      </w:r>
      <w:r w:rsidR="000A542A" w:rsidRPr="009B39EC">
        <w:rPr>
          <w:rFonts w:ascii="Arial" w:hAnsi="Arial" w:cs="Arial"/>
          <w:sz w:val="20"/>
          <w:szCs w:val="20"/>
          <w:lang w:val="en-GB"/>
        </w:rPr>
        <w:t>(</w:t>
      </w:r>
      <w:r w:rsidR="001C1CA3" w:rsidRPr="009B39EC">
        <w:rPr>
          <w:rFonts w:ascii="Arial" w:hAnsi="Arial" w:cs="Arial"/>
          <w:sz w:val="20"/>
          <w:szCs w:val="20"/>
          <w:lang w:val="en-GB"/>
        </w:rPr>
        <w:t xml:space="preserve">and </w:t>
      </w:r>
      <w:r w:rsidR="000A542A" w:rsidRPr="009B39EC">
        <w:rPr>
          <w:rFonts w:ascii="Arial" w:hAnsi="Arial" w:cs="Arial"/>
          <w:sz w:val="20"/>
          <w:szCs w:val="20"/>
          <w:lang w:val="en-GB"/>
        </w:rPr>
        <w:t xml:space="preserve">which </w:t>
      </w:r>
      <w:r w:rsidR="001C1CA3" w:rsidRPr="009B39EC">
        <w:rPr>
          <w:rFonts w:ascii="Arial" w:hAnsi="Arial" w:cs="Arial"/>
          <w:sz w:val="20"/>
          <w:szCs w:val="20"/>
          <w:lang w:val="en-GB"/>
        </w:rPr>
        <w:t xml:space="preserve">repeals the previous </w:t>
      </w:r>
      <w:r w:rsidR="00440756" w:rsidRPr="009B39EC">
        <w:rPr>
          <w:rFonts w:ascii="Arial" w:hAnsi="Arial" w:cs="Arial"/>
          <w:sz w:val="20"/>
          <w:szCs w:val="20"/>
          <w:lang w:val="en-GB"/>
        </w:rPr>
        <w:t>DCoM</w:t>
      </w:r>
      <w:r w:rsidR="000A542A" w:rsidRPr="009B39EC">
        <w:rPr>
          <w:rFonts w:ascii="Arial" w:hAnsi="Arial" w:cs="Arial"/>
          <w:sz w:val="20"/>
          <w:szCs w:val="20"/>
          <w:lang w:val="en-GB"/>
        </w:rPr>
        <w:t>)</w:t>
      </w:r>
      <w:r w:rsidR="00625196" w:rsidRPr="009B39EC">
        <w:rPr>
          <w:rFonts w:ascii="Arial" w:hAnsi="Arial" w:cs="Arial"/>
          <w:sz w:val="20"/>
          <w:szCs w:val="20"/>
          <w:lang w:val="en-GB"/>
        </w:rPr>
        <w:t xml:space="preserve">, </w:t>
      </w:r>
      <w:r w:rsidR="001C1CA3" w:rsidRPr="009B39EC">
        <w:rPr>
          <w:rFonts w:ascii="Arial" w:hAnsi="Arial" w:cs="Arial"/>
          <w:sz w:val="20"/>
          <w:szCs w:val="20"/>
          <w:lang w:val="en-GB"/>
        </w:rPr>
        <w:t xml:space="preserve">further emphasises the need </w:t>
      </w:r>
      <w:r w:rsidR="00373667" w:rsidRPr="009B39EC">
        <w:rPr>
          <w:rFonts w:ascii="Arial" w:hAnsi="Arial" w:cs="Arial"/>
          <w:sz w:val="20"/>
          <w:szCs w:val="20"/>
          <w:lang w:val="en-GB"/>
        </w:rPr>
        <w:t xml:space="preserve">to prioritise </w:t>
      </w:r>
      <w:r w:rsidR="000A542A" w:rsidRPr="009B39EC">
        <w:rPr>
          <w:rFonts w:ascii="Arial" w:hAnsi="Arial" w:cs="Arial"/>
          <w:sz w:val="20"/>
          <w:szCs w:val="20"/>
          <w:lang w:val="en-GB"/>
        </w:rPr>
        <w:t>tackling</w:t>
      </w:r>
      <w:r w:rsidR="00373667" w:rsidRPr="009B39EC">
        <w:rPr>
          <w:rFonts w:ascii="Arial" w:hAnsi="Arial" w:cs="Arial"/>
          <w:sz w:val="20"/>
          <w:szCs w:val="20"/>
          <w:lang w:val="en-GB"/>
        </w:rPr>
        <w:t xml:space="preserve"> all forms of violence against women through a coordinated </w:t>
      </w:r>
      <w:r w:rsidR="000A542A" w:rsidRPr="009B39EC">
        <w:rPr>
          <w:rFonts w:ascii="Arial" w:hAnsi="Arial" w:cs="Arial"/>
          <w:sz w:val="20"/>
          <w:szCs w:val="20"/>
          <w:lang w:val="en-GB"/>
        </w:rPr>
        <w:t>multi-sectoral</w:t>
      </w:r>
      <w:r w:rsidR="00373667" w:rsidRPr="009B39EC">
        <w:rPr>
          <w:rFonts w:ascii="Arial" w:hAnsi="Arial" w:cs="Arial"/>
          <w:sz w:val="20"/>
          <w:szCs w:val="20"/>
          <w:lang w:val="en-GB"/>
        </w:rPr>
        <w:t xml:space="preserve"> approach</w:t>
      </w:r>
      <w:r w:rsidR="00625196" w:rsidRPr="009B39EC">
        <w:rPr>
          <w:rFonts w:ascii="Arial" w:hAnsi="Arial" w:cs="Arial"/>
          <w:sz w:val="20"/>
          <w:szCs w:val="20"/>
          <w:lang w:val="en-GB"/>
        </w:rPr>
        <w:t xml:space="preserve">. </w:t>
      </w:r>
      <w:r w:rsidR="00373667" w:rsidRPr="009B39EC">
        <w:rPr>
          <w:rFonts w:ascii="Arial" w:hAnsi="Arial" w:cs="Arial"/>
          <w:sz w:val="20"/>
          <w:szCs w:val="20"/>
          <w:lang w:val="en-GB"/>
        </w:rPr>
        <w:t xml:space="preserve">This will </w:t>
      </w:r>
      <w:r w:rsidR="000A542A" w:rsidRPr="009B39EC">
        <w:rPr>
          <w:rFonts w:ascii="Arial" w:hAnsi="Arial" w:cs="Arial"/>
          <w:sz w:val="20"/>
          <w:szCs w:val="20"/>
          <w:lang w:val="en-GB"/>
        </w:rPr>
        <w:t xml:space="preserve">help </w:t>
      </w:r>
      <w:r w:rsidR="00373667" w:rsidRPr="009B39EC">
        <w:rPr>
          <w:rFonts w:ascii="Arial" w:hAnsi="Arial" w:cs="Arial"/>
          <w:sz w:val="20"/>
          <w:szCs w:val="20"/>
          <w:lang w:val="en-GB"/>
        </w:rPr>
        <w:t xml:space="preserve">the fulfilment of </w:t>
      </w:r>
      <w:r w:rsidR="000A542A"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 xml:space="preserve">recommendation </w:t>
      </w:r>
      <w:r w:rsidR="00625196" w:rsidRPr="009B39EC">
        <w:rPr>
          <w:rFonts w:ascii="Arial" w:hAnsi="Arial" w:cs="Arial"/>
          <w:b/>
          <w:bCs/>
          <w:sz w:val="20"/>
          <w:szCs w:val="20"/>
          <w:lang w:val="en-GB"/>
        </w:rPr>
        <w:t>1</w:t>
      </w:r>
      <w:r w:rsidR="00373667" w:rsidRPr="009B39EC">
        <w:rPr>
          <w:rFonts w:ascii="Arial" w:hAnsi="Arial" w:cs="Arial"/>
          <w:sz w:val="20"/>
          <w:szCs w:val="20"/>
          <w:lang w:val="en-GB"/>
        </w:rPr>
        <w:t xml:space="preserve">, in relation to </w:t>
      </w:r>
      <w:r w:rsidR="000A542A" w:rsidRPr="009B39EC">
        <w:rPr>
          <w:rFonts w:ascii="Arial" w:hAnsi="Arial" w:cs="Arial"/>
          <w:sz w:val="20"/>
          <w:szCs w:val="20"/>
          <w:lang w:val="en-GB"/>
        </w:rPr>
        <w:t>tackling</w:t>
      </w:r>
      <w:r w:rsidR="00373667" w:rsidRPr="009B39EC">
        <w:rPr>
          <w:rFonts w:ascii="Arial" w:hAnsi="Arial" w:cs="Arial"/>
          <w:sz w:val="20"/>
          <w:szCs w:val="20"/>
          <w:lang w:val="en-GB"/>
        </w:rPr>
        <w:t xml:space="preserve"> all forms of violence against women and girls</w:t>
      </w:r>
      <w:r w:rsidR="00625196" w:rsidRPr="009B39EC">
        <w:rPr>
          <w:rFonts w:ascii="Arial" w:hAnsi="Arial" w:cs="Arial"/>
          <w:sz w:val="20"/>
          <w:szCs w:val="20"/>
          <w:lang w:val="en-GB"/>
        </w:rPr>
        <w:t xml:space="preserve">. </w:t>
      </w:r>
      <w:r w:rsidR="00373667" w:rsidRPr="009B39EC">
        <w:rPr>
          <w:rFonts w:ascii="Arial" w:hAnsi="Arial" w:cs="Arial"/>
          <w:sz w:val="20"/>
          <w:szCs w:val="20"/>
          <w:lang w:val="en-GB"/>
        </w:rPr>
        <w:t xml:space="preserve">In this context, </w:t>
      </w:r>
      <w:proofErr w:type="gramStart"/>
      <w:r w:rsidR="00373667" w:rsidRPr="009B39EC">
        <w:rPr>
          <w:rFonts w:ascii="Arial" w:hAnsi="Arial" w:cs="Arial"/>
          <w:sz w:val="20"/>
          <w:szCs w:val="20"/>
          <w:lang w:val="en-GB"/>
        </w:rPr>
        <w:t>a number of</w:t>
      </w:r>
      <w:proofErr w:type="gramEnd"/>
      <w:r w:rsidR="00373667" w:rsidRPr="009B39EC">
        <w:rPr>
          <w:rFonts w:ascii="Arial" w:hAnsi="Arial" w:cs="Arial"/>
          <w:sz w:val="20"/>
          <w:szCs w:val="20"/>
          <w:lang w:val="en-GB"/>
        </w:rPr>
        <w:t xml:space="preserve"> consultative roundtables were organised with </w:t>
      </w:r>
      <w:r w:rsidR="000A542A" w:rsidRPr="009B39EC">
        <w:rPr>
          <w:rFonts w:ascii="Arial" w:hAnsi="Arial" w:cs="Arial"/>
          <w:sz w:val="20"/>
          <w:szCs w:val="20"/>
          <w:lang w:val="en-GB"/>
        </w:rPr>
        <w:t xml:space="preserve">key </w:t>
      </w:r>
      <w:r w:rsidR="00373667" w:rsidRPr="009B39EC">
        <w:rPr>
          <w:rFonts w:ascii="Arial" w:hAnsi="Arial" w:cs="Arial"/>
          <w:sz w:val="20"/>
          <w:szCs w:val="20"/>
          <w:lang w:val="en-GB"/>
        </w:rPr>
        <w:t xml:space="preserve">independent bodies such as the Ombudsperson, Commissioner for Protection against Discrimination, the Bar Association, representatives of the academia and the civil society, </w:t>
      </w:r>
      <w:r w:rsidR="00C83B5D" w:rsidRPr="009B39EC">
        <w:rPr>
          <w:rFonts w:ascii="Arial" w:hAnsi="Arial" w:cs="Arial"/>
          <w:sz w:val="20"/>
          <w:szCs w:val="20"/>
          <w:lang w:val="en-GB"/>
        </w:rPr>
        <w:t xml:space="preserve">where, among others, there was discussion on a new </w:t>
      </w:r>
      <w:r w:rsidR="00373667" w:rsidRPr="009B39EC">
        <w:rPr>
          <w:rFonts w:ascii="Arial" w:hAnsi="Arial" w:cs="Arial"/>
          <w:sz w:val="20"/>
          <w:szCs w:val="20"/>
          <w:lang w:val="en-GB"/>
        </w:rPr>
        <w:t>comprehensive law against violence against women</w:t>
      </w:r>
      <w:r w:rsidR="00625196" w:rsidRPr="009B39EC">
        <w:rPr>
          <w:rFonts w:ascii="Arial" w:hAnsi="Arial" w:cs="Arial"/>
          <w:sz w:val="20"/>
          <w:szCs w:val="20"/>
          <w:lang w:val="en-GB"/>
        </w:rPr>
        <w:t xml:space="preserve">. </w:t>
      </w:r>
    </w:p>
    <w:p w14:paraId="6C543E46" w14:textId="5DFFEA9E" w:rsidR="004E1005" w:rsidRPr="009B39EC" w:rsidRDefault="00373667" w:rsidP="00625196">
      <w:pPr>
        <w:jc w:val="both"/>
        <w:rPr>
          <w:rFonts w:ascii="Arial" w:hAnsi="Arial" w:cs="Arial"/>
          <w:sz w:val="20"/>
          <w:szCs w:val="20"/>
          <w:lang w:val="en-GB"/>
        </w:rPr>
      </w:pPr>
      <w:r w:rsidRPr="009B39EC">
        <w:rPr>
          <w:rFonts w:ascii="Arial" w:hAnsi="Arial" w:cs="Arial"/>
          <w:sz w:val="20"/>
          <w:szCs w:val="20"/>
          <w:lang w:val="en-GB"/>
        </w:rPr>
        <w:t xml:space="preserve">More specifically, at the local level, the responsibility for the prevention, protection, </w:t>
      </w:r>
      <w:proofErr w:type="gramStart"/>
      <w:r w:rsidRPr="009B39EC">
        <w:rPr>
          <w:rFonts w:ascii="Arial" w:hAnsi="Arial" w:cs="Arial"/>
          <w:sz w:val="20"/>
          <w:szCs w:val="20"/>
          <w:lang w:val="en-GB"/>
        </w:rPr>
        <w:t>support</w:t>
      </w:r>
      <w:proofErr w:type="gramEnd"/>
      <w:r w:rsidRPr="009B39EC">
        <w:rPr>
          <w:rFonts w:ascii="Arial" w:hAnsi="Arial" w:cs="Arial"/>
          <w:sz w:val="20"/>
          <w:szCs w:val="20"/>
          <w:lang w:val="en-GB"/>
        </w:rPr>
        <w:t xml:space="preserve"> and rehabilitation of victims of domestic violence, rests with the Coordinated Reference Mechanisms (CRM)</w:t>
      </w:r>
      <w:r w:rsidR="000A542A" w:rsidRPr="009B39EC">
        <w:rPr>
          <w:rFonts w:ascii="Arial" w:hAnsi="Arial" w:cs="Arial"/>
          <w:sz w:val="20"/>
          <w:szCs w:val="20"/>
          <w:lang w:val="en-GB"/>
        </w:rPr>
        <w:t xml:space="preserve">, </w:t>
      </w:r>
      <w:r w:rsidR="007C684F" w:rsidRPr="009B39EC">
        <w:rPr>
          <w:rFonts w:ascii="Arial" w:hAnsi="Arial" w:cs="Arial"/>
          <w:sz w:val="20"/>
          <w:szCs w:val="20"/>
          <w:lang w:val="en-GB"/>
        </w:rPr>
        <w:t xml:space="preserve">already established </w:t>
      </w:r>
      <w:r w:rsidRPr="009B39EC">
        <w:rPr>
          <w:rFonts w:ascii="Arial" w:hAnsi="Arial" w:cs="Arial"/>
          <w:sz w:val="20"/>
          <w:szCs w:val="20"/>
          <w:lang w:val="en-GB"/>
        </w:rPr>
        <w:t xml:space="preserve">in </w:t>
      </w:r>
      <w:r w:rsidR="007C684F" w:rsidRPr="009B39EC">
        <w:rPr>
          <w:rFonts w:ascii="Arial" w:hAnsi="Arial" w:cs="Arial"/>
          <w:sz w:val="20"/>
          <w:szCs w:val="20"/>
          <w:lang w:val="en-GB"/>
        </w:rPr>
        <w:t>all</w:t>
      </w:r>
      <w:r w:rsidRPr="009B39EC">
        <w:rPr>
          <w:rFonts w:ascii="Arial" w:hAnsi="Arial" w:cs="Arial"/>
          <w:sz w:val="20"/>
          <w:szCs w:val="20"/>
          <w:lang w:val="en-GB"/>
        </w:rPr>
        <w:t xml:space="preserve"> 61 municipalities in the country. The CRM</w:t>
      </w:r>
      <w:r w:rsidR="000A542A" w:rsidRPr="009B39EC">
        <w:rPr>
          <w:rFonts w:ascii="Arial" w:hAnsi="Arial" w:cs="Arial"/>
          <w:sz w:val="20"/>
          <w:szCs w:val="20"/>
          <w:lang w:val="en-GB"/>
        </w:rPr>
        <w:t>s</w:t>
      </w:r>
      <w:r w:rsidR="007E17D3" w:rsidRPr="009B39EC">
        <w:rPr>
          <w:rFonts w:ascii="Arial" w:hAnsi="Arial" w:cs="Arial"/>
          <w:sz w:val="20"/>
          <w:szCs w:val="20"/>
          <w:lang w:val="en-GB"/>
        </w:rPr>
        <w:t xml:space="preserve"> </w:t>
      </w:r>
      <w:r w:rsidR="00BF41FF" w:rsidRPr="009B39EC">
        <w:rPr>
          <w:rFonts w:ascii="Arial" w:hAnsi="Arial" w:cs="Arial"/>
          <w:sz w:val="20"/>
          <w:szCs w:val="20"/>
          <w:lang w:val="en-GB"/>
        </w:rPr>
        <w:t>w</w:t>
      </w:r>
      <w:r w:rsidR="000A542A" w:rsidRPr="009B39EC">
        <w:rPr>
          <w:rFonts w:ascii="Arial" w:hAnsi="Arial" w:cs="Arial"/>
          <w:sz w:val="20"/>
          <w:szCs w:val="20"/>
          <w:lang w:val="en-GB"/>
        </w:rPr>
        <w:t>ere</w:t>
      </w:r>
      <w:r w:rsidR="00BF41FF" w:rsidRPr="009B39EC">
        <w:rPr>
          <w:rFonts w:ascii="Arial" w:hAnsi="Arial" w:cs="Arial"/>
          <w:sz w:val="20"/>
          <w:szCs w:val="20"/>
          <w:lang w:val="en-GB"/>
        </w:rPr>
        <w:t xml:space="preserve"> </w:t>
      </w:r>
      <w:r w:rsidR="00C83B5D" w:rsidRPr="009B39EC">
        <w:rPr>
          <w:rFonts w:ascii="Arial" w:hAnsi="Arial" w:cs="Arial"/>
          <w:sz w:val="20"/>
          <w:szCs w:val="20"/>
          <w:lang w:val="en-GB"/>
        </w:rPr>
        <w:t>set up</w:t>
      </w:r>
      <w:r w:rsidR="00BF41FF" w:rsidRPr="009B39EC">
        <w:rPr>
          <w:rFonts w:ascii="Arial" w:hAnsi="Arial" w:cs="Arial"/>
          <w:sz w:val="20"/>
          <w:szCs w:val="20"/>
          <w:lang w:val="en-GB"/>
        </w:rPr>
        <w:t xml:space="preserve"> pursuant to </w:t>
      </w:r>
      <w:r w:rsidR="007E17D3" w:rsidRPr="009B39EC">
        <w:rPr>
          <w:rFonts w:ascii="Arial" w:hAnsi="Arial" w:cs="Arial"/>
          <w:sz w:val="20"/>
          <w:szCs w:val="20"/>
          <w:lang w:val="en-GB"/>
        </w:rPr>
        <w:t>Law</w:t>
      </w:r>
      <w:r w:rsidR="004E1005" w:rsidRPr="009B39EC">
        <w:rPr>
          <w:rFonts w:ascii="Arial" w:hAnsi="Arial" w:cs="Arial"/>
          <w:sz w:val="20"/>
          <w:szCs w:val="20"/>
          <w:lang w:val="en-GB"/>
        </w:rPr>
        <w:t xml:space="preserve"> </w:t>
      </w:r>
      <w:r w:rsidR="007C684F" w:rsidRPr="009B39EC">
        <w:rPr>
          <w:rFonts w:ascii="Arial" w:hAnsi="Arial" w:cs="Arial"/>
          <w:sz w:val="20"/>
          <w:szCs w:val="20"/>
          <w:lang w:val="en-GB"/>
        </w:rPr>
        <w:t xml:space="preserve">No. </w:t>
      </w:r>
      <w:r w:rsidR="004E1005" w:rsidRPr="009B39EC">
        <w:rPr>
          <w:rFonts w:ascii="Arial" w:hAnsi="Arial" w:cs="Arial"/>
          <w:sz w:val="20"/>
          <w:szCs w:val="20"/>
          <w:lang w:val="en-GB"/>
        </w:rPr>
        <w:lastRenderedPageBreak/>
        <w:t>9669/2006 “</w:t>
      </w:r>
      <w:r w:rsidR="008F090B" w:rsidRPr="009B39EC">
        <w:rPr>
          <w:rFonts w:ascii="Arial" w:hAnsi="Arial" w:cs="Arial"/>
          <w:sz w:val="20"/>
          <w:szCs w:val="20"/>
          <w:lang w:val="en-GB"/>
        </w:rPr>
        <w:t>On measures against violence in family relations</w:t>
      </w:r>
      <w:r w:rsidR="004E1005" w:rsidRPr="009B39EC">
        <w:rPr>
          <w:rFonts w:ascii="Arial" w:hAnsi="Arial" w:cs="Arial"/>
          <w:sz w:val="20"/>
          <w:szCs w:val="20"/>
          <w:lang w:val="en-GB"/>
        </w:rPr>
        <w:t xml:space="preserve">”, </w:t>
      </w:r>
      <w:r w:rsidR="007E17D3" w:rsidRPr="009B39EC">
        <w:rPr>
          <w:rFonts w:ascii="Arial" w:hAnsi="Arial" w:cs="Arial"/>
          <w:sz w:val="20"/>
          <w:szCs w:val="20"/>
          <w:lang w:val="en-GB"/>
        </w:rPr>
        <w:t xml:space="preserve">as amended, which is </w:t>
      </w:r>
      <w:r w:rsidR="00C83B5D" w:rsidRPr="009B39EC">
        <w:rPr>
          <w:rFonts w:ascii="Arial" w:hAnsi="Arial" w:cs="Arial"/>
          <w:sz w:val="20"/>
          <w:szCs w:val="20"/>
          <w:lang w:val="en-GB"/>
        </w:rPr>
        <w:t xml:space="preserve">underpinned by the </w:t>
      </w:r>
      <w:r w:rsidR="007E17D3" w:rsidRPr="009B39EC">
        <w:rPr>
          <w:rFonts w:ascii="Arial" w:hAnsi="Arial" w:cs="Arial"/>
          <w:sz w:val="20"/>
          <w:szCs w:val="20"/>
          <w:lang w:val="en-GB"/>
        </w:rPr>
        <w:t xml:space="preserve">principles </w:t>
      </w:r>
      <w:r w:rsidR="00C83B5D" w:rsidRPr="009B39EC">
        <w:rPr>
          <w:rFonts w:ascii="Arial" w:hAnsi="Arial" w:cs="Arial"/>
          <w:sz w:val="20"/>
          <w:szCs w:val="20"/>
          <w:lang w:val="en-GB"/>
        </w:rPr>
        <w:t>of</w:t>
      </w:r>
      <w:r w:rsidR="007E17D3" w:rsidRPr="009B39EC">
        <w:rPr>
          <w:rFonts w:ascii="Arial" w:hAnsi="Arial" w:cs="Arial"/>
          <w:sz w:val="20"/>
          <w:szCs w:val="20"/>
          <w:lang w:val="en-GB"/>
        </w:rPr>
        <w:t xml:space="preserve"> </w:t>
      </w:r>
      <w:r w:rsidR="00C91B33" w:rsidRPr="009B39EC">
        <w:rPr>
          <w:rFonts w:ascii="Arial" w:hAnsi="Arial" w:cs="Arial"/>
          <w:sz w:val="20"/>
          <w:szCs w:val="20"/>
          <w:lang w:val="en-GB"/>
        </w:rPr>
        <w:t>Istanbul</w:t>
      </w:r>
      <w:r w:rsidR="007E17D3" w:rsidRPr="009B39EC">
        <w:rPr>
          <w:rFonts w:ascii="Arial" w:hAnsi="Arial" w:cs="Arial"/>
          <w:sz w:val="20"/>
          <w:szCs w:val="20"/>
          <w:lang w:val="en-GB"/>
        </w:rPr>
        <w:t xml:space="preserve"> Convention and other international conventions and treaties</w:t>
      </w:r>
      <w:r w:rsidR="004E1005" w:rsidRPr="009B39EC">
        <w:rPr>
          <w:rFonts w:ascii="Arial" w:hAnsi="Arial" w:cs="Arial"/>
          <w:sz w:val="20"/>
          <w:szCs w:val="20"/>
          <w:lang w:val="en-GB"/>
        </w:rPr>
        <w:t xml:space="preserve"> (</w:t>
      </w:r>
      <w:r w:rsidR="00BF41FF" w:rsidRPr="009B39EC">
        <w:rPr>
          <w:rFonts w:ascii="Arial" w:hAnsi="Arial" w:cs="Arial"/>
          <w:sz w:val="20"/>
          <w:szCs w:val="20"/>
          <w:lang w:val="en-GB"/>
        </w:rPr>
        <w:t xml:space="preserve">Article </w:t>
      </w:r>
      <w:r w:rsidR="004E1005" w:rsidRPr="009B39EC">
        <w:rPr>
          <w:rFonts w:ascii="Arial" w:hAnsi="Arial" w:cs="Arial"/>
          <w:sz w:val="20"/>
          <w:szCs w:val="20"/>
          <w:lang w:val="en-GB"/>
        </w:rPr>
        <w:t xml:space="preserve">3/1). </w:t>
      </w:r>
      <w:r w:rsidR="00BF41FF" w:rsidRPr="009B39EC">
        <w:rPr>
          <w:rFonts w:ascii="Arial" w:hAnsi="Arial" w:cs="Arial"/>
          <w:sz w:val="20"/>
          <w:szCs w:val="20"/>
          <w:lang w:val="en-GB"/>
        </w:rPr>
        <w:t xml:space="preserve">The CRM functions </w:t>
      </w:r>
      <w:proofErr w:type="gramStart"/>
      <w:r w:rsidR="00BF41FF" w:rsidRPr="009B39EC">
        <w:rPr>
          <w:rFonts w:ascii="Arial" w:hAnsi="Arial" w:cs="Arial"/>
          <w:sz w:val="20"/>
          <w:szCs w:val="20"/>
          <w:lang w:val="en-GB"/>
        </w:rPr>
        <w:t>on the basis of</w:t>
      </w:r>
      <w:proofErr w:type="gramEnd"/>
      <w:r w:rsidR="00BF41FF" w:rsidRPr="009B39EC">
        <w:rPr>
          <w:rFonts w:ascii="Arial" w:hAnsi="Arial" w:cs="Arial"/>
          <w:sz w:val="20"/>
          <w:szCs w:val="20"/>
          <w:lang w:val="en-GB"/>
        </w:rPr>
        <w:t xml:space="preserve"> a coordinated multi-sectoral approach and is composed of a network of local institutions, such as </w:t>
      </w:r>
      <w:r w:rsidR="007C684F" w:rsidRPr="009B39EC">
        <w:rPr>
          <w:rFonts w:ascii="Arial" w:hAnsi="Arial" w:cs="Arial"/>
          <w:sz w:val="20"/>
          <w:szCs w:val="20"/>
          <w:lang w:val="en-GB"/>
        </w:rPr>
        <w:t xml:space="preserve">the </w:t>
      </w:r>
      <w:r w:rsidR="00BF41FF" w:rsidRPr="009B39EC">
        <w:rPr>
          <w:rFonts w:ascii="Arial" w:hAnsi="Arial" w:cs="Arial"/>
          <w:sz w:val="20"/>
          <w:szCs w:val="20"/>
          <w:lang w:val="en-GB"/>
        </w:rPr>
        <w:t>municipalit</w:t>
      </w:r>
      <w:r w:rsidR="007C684F" w:rsidRPr="009B39EC">
        <w:rPr>
          <w:rFonts w:ascii="Arial" w:hAnsi="Arial" w:cs="Arial"/>
          <w:sz w:val="20"/>
          <w:szCs w:val="20"/>
          <w:lang w:val="en-GB"/>
        </w:rPr>
        <w:t>ies</w:t>
      </w:r>
      <w:r w:rsidR="00BF41FF" w:rsidRPr="009B39EC">
        <w:rPr>
          <w:rFonts w:ascii="Arial" w:hAnsi="Arial" w:cs="Arial"/>
          <w:sz w:val="20"/>
          <w:szCs w:val="20"/>
          <w:lang w:val="en-GB"/>
        </w:rPr>
        <w:t>, the police, the courts, prosecutor’s offices, the bailiff service, forensic experts, health</w:t>
      </w:r>
      <w:r w:rsidR="00085BD8" w:rsidRPr="009B39EC">
        <w:rPr>
          <w:rFonts w:ascii="Arial" w:hAnsi="Arial" w:cs="Arial"/>
          <w:sz w:val="20"/>
          <w:szCs w:val="20"/>
          <w:lang w:val="en-GB"/>
        </w:rPr>
        <w:t xml:space="preserve"> care</w:t>
      </w:r>
      <w:r w:rsidR="00BF41FF" w:rsidRPr="009B39EC">
        <w:rPr>
          <w:rFonts w:ascii="Arial" w:hAnsi="Arial" w:cs="Arial"/>
          <w:sz w:val="20"/>
          <w:szCs w:val="20"/>
          <w:lang w:val="en-GB"/>
        </w:rPr>
        <w:t xml:space="preserve">, education, and employment services, the state social service, social care services, civil society organisations providing specialised support services, etc. Each of the institutions/organisations </w:t>
      </w:r>
      <w:r w:rsidR="00085BD8" w:rsidRPr="009B39EC">
        <w:rPr>
          <w:rFonts w:ascii="Arial" w:hAnsi="Arial" w:cs="Arial"/>
          <w:sz w:val="20"/>
          <w:szCs w:val="20"/>
          <w:lang w:val="en-GB"/>
        </w:rPr>
        <w:t xml:space="preserve">involved in the </w:t>
      </w:r>
      <w:r w:rsidR="00BF41FF" w:rsidRPr="009B39EC">
        <w:rPr>
          <w:rFonts w:ascii="Arial" w:hAnsi="Arial" w:cs="Arial"/>
          <w:sz w:val="20"/>
          <w:szCs w:val="20"/>
          <w:lang w:val="en-GB"/>
        </w:rPr>
        <w:t>CRM</w:t>
      </w:r>
      <w:r w:rsidR="004E1005" w:rsidRPr="009B39EC">
        <w:rPr>
          <w:rFonts w:ascii="Arial" w:hAnsi="Arial" w:cs="Arial"/>
          <w:sz w:val="20"/>
          <w:szCs w:val="20"/>
          <w:lang w:val="en-GB"/>
        </w:rPr>
        <w:t xml:space="preserve"> </w:t>
      </w:r>
      <w:r w:rsidR="00085BD8" w:rsidRPr="009B39EC">
        <w:rPr>
          <w:rFonts w:ascii="Arial" w:hAnsi="Arial" w:cs="Arial"/>
          <w:sz w:val="20"/>
          <w:szCs w:val="20"/>
          <w:lang w:val="en-GB"/>
        </w:rPr>
        <w:t xml:space="preserve">structure, </w:t>
      </w:r>
      <w:r w:rsidR="00BF41FF" w:rsidRPr="009B39EC">
        <w:rPr>
          <w:rFonts w:ascii="Arial" w:hAnsi="Arial" w:cs="Arial"/>
          <w:sz w:val="20"/>
          <w:szCs w:val="20"/>
          <w:lang w:val="en-GB"/>
        </w:rPr>
        <w:t>appoints an expert to the Interdisciplinary Technical Team</w:t>
      </w:r>
      <w:r w:rsidR="004E1005" w:rsidRPr="009B39EC">
        <w:rPr>
          <w:rFonts w:ascii="Arial" w:hAnsi="Arial" w:cs="Arial"/>
          <w:sz w:val="20"/>
          <w:szCs w:val="20"/>
          <w:lang w:val="en-GB"/>
        </w:rPr>
        <w:t xml:space="preserve"> (</w:t>
      </w:r>
      <w:r w:rsidR="00BF41FF" w:rsidRPr="009B39EC">
        <w:rPr>
          <w:rFonts w:ascii="Arial" w:hAnsi="Arial" w:cs="Arial"/>
          <w:sz w:val="20"/>
          <w:szCs w:val="20"/>
          <w:lang w:val="en-GB"/>
        </w:rPr>
        <w:t>ITT</w:t>
      </w:r>
      <w:r w:rsidR="004E1005" w:rsidRPr="009B39EC">
        <w:rPr>
          <w:rFonts w:ascii="Arial" w:hAnsi="Arial" w:cs="Arial"/>
          <w:sz w:val="20"/>
          <w:szCs w:val="20"/>
          <w:lang w:val="en-GB"/>
        </w:rPr>
        <w:t>)</w:t>
      </w:r>
      <w:r w:rsidR="00BF41FF" w:rsidRPr="009B39EC">
        <w:rPr>
          <w:rFonts w:ascii="Arial" w:hAnsi="Arial" w:cs="Arial"/>
          <w:sz w:val="20"/>
          <w:szCs w:val="20"/>
          <w:lang w:val="en-GB"/>
        </w:rPr>
        <w:t xml:space="preserve"> responsible for the direct management of cases of domestic violence and violence against women. The Local Self-Government Units </w:t>
      </w:r>
      <w:r w:rsidR="004E1005" w:rsidRPr="009B39EC">
        <w:rPr>
          <w:rFonts w:ascii="Arial" w:hAnsi="Arial" w:cs="Arial"/>
          <w:sz w:val="20"/>
          <w:szCs w:val="20"/>
          <w:lang w:val="en-GB"/>
        </w:rPr>
        <w:t>(</w:t>
      </w:r>
      <w:r w:rsidR="00BF41FF" w:rsidRPr="009B39EC">
        <w:rPr>
          <w:rFonts w:ascii="Arial" w:hAnsi="Arial" w:cs="Arial"/>
          <w:sz w:val="20"/>
          <w:szCs w:val="20"/>
          <w:lang w:val="en-GB"/>
        </w:rPr>
        <w:t>municipalities</w:t>
      </w:r>
      <w:r w:rsidR="004E1005" w:rsidRPr="009B39EC">
        <w:rPr>
          <w:rFonts w:ascii="Arial" w:hAnsi="Arial" w:cs="Arial"/>
          <w:sz w:val="20"/>
          <w:szCs w:val="20"/>
          <w:lang w:val="en-GB"/>
        </w:rPr>
        <w:t xml:space="preserve">) </w:t>
      </w:r>
      <w:proofErr w:type="gramStart"/>
      <w:r w:rsidR="00BF41FF" w:rsidRPr="009B39EC">
        <w:rPr>
          <w:rFonts w:ascii="Arial" w:hAnsi="Arial" w:cs="Arial"/>
          <w:sz w:val="20"/>
          <w:szCs w:val="20"/>
          <w:lang w:val="en-GB"/>
        </w:rPr>
        <w:t>are in charge of</w:t>
      </w:r>
      <w:proofErr w:type="gramEnd"/>
      <w:r w:rsidR="00BF41FF" w:rsidRPr="009B39EC">
        <w:rPr>
          <w:rFonts w:ascii="Arial" w:hAnsi="Arial" w:cs="Arial"/>
          <w:sz w:val="20"/>
          <w:szCs w:val="20"/>
          <w:lang w:val="en-GB"/>
        </w:rPr>
        <w:t xml:space="preserve"> setting up</w:t>
      </w:r>
      <w:r w:rsidR="004E1005" w:rsidRPr="009B39EC">
        <w:rPr>
          <w:rFonts w:ascii="Arial" w:hAnsi="Arial" w:cs="Arial"/>
          <w:sz w:val="20"/>
          <w:szCs w:val="20"/>
          <w:lang w:val="en-GB"/>
        </w:rPr>
        <w:t xml:space="preserve"> </w:t>
      </w:r>
      <w:r w:rsidR="00085BD8" w:rsidRPr="009B39EC">
        <w:rPr>
          <w:rFonts w:ascii="Arial" w:hAnsi="Arial" w:cs="Arial"/>
          <w:sz w:val="20"/>
          <w:szCs w:val="20"/>
          <w:lang w:val="en-GB"/>
        </w:rPr>
        <w:t xml:space="preserve">their </w:t>
      </w:r>
      <w:r w:rsidR="00BF41FF" w:rsidRPr="009B39EC">
        <w:rPr>
          <w:rFonts w:ascii="Arial" w:hAnsi="Arial" w:cs="Arial"/>
          <w:sz w:val="20"/>
          <w:szCs w:val="20"/>
          <w:lang w:val="en-GB"/>
        </w:rPr>
        <w:t>CRM and appoint</w:t>
      </w:r>
      <w:r w:rsidR="00085BD8" w:rsidRPr="009B39EC">
        <w:rPr>
          <w:rFonts w:ascii="Arial" w:hAnsi="Arial" w:cs="Arial"/>
          <w:sz w:val="20"/>
          <w:szCs w:val="20"/>
          <w:lang w:val="en-GB"/>
        </w:rPr>
        <w:t>ing</w:t>
      </w:r>
      <w:r w:rsidR="00BF41FF" w:rsidRPr="009B39EC">
        <w:rPr>
          <w:rFonts w:ascii="Arial" w:hAnsi="Arial" w:cs="Arial"/>
          <w:sz w:val="20"/>
          <w:szCs w:val="20"/>
          <w:lang w:val="en-GB"/>
        </w:rPr>
        <w:t xml:space="preserve"> the Local Coordinator (LC), which is a </w:t>
      </w:r>
      <w:r w:rsidR="00C91B33" w:rsidRPr="009B39EC">
        <w:rPr>
          <w:rFonts w:ascii="Arial" w:hAnsi="Arial" w:cs="Arial"/>
          <w:sz w:val="20"/>
          <w:szCs w:val="20"/>
          <w:lang w:val="en-GB"/>
        </w:rPr>
        <w:t>full-time</w:t>
      </w:r>
      <w:r w:rsidR="00BF41FF" w:rsidRPr="009B39EC">
        <w:rPr>
          <w:rFonts w:ascii="Arial" w:hAnsi="Arial" w:cs="Arial"/>
          <w:sz w:val="20"/>
          <w:szCs w:val="20"/>
          <w:lang w:val="en-GB"/>
        </w:rPr>
        <w:t xml:space="preserve"> position</w:t>
      </w:r>
      <w:r w:rsidR="004E1005" w:rsidRPr="009B39EC">
        <w:rPr>
          <w:rFonts w:ascii="Arial" w:hAnsi="Arial" w:cs="Arial"/>
          <w:sz w:val="20"/>
          <w:szCs w:val="20"/>
          <w:lang w:val="en-GB"/>
        </w:rPr>
        <w:t xml:space="preserve">. </w:t>
      </w:r>
      <w:r w:rsidR="00BF41FF" w:rsidRPr="009B39EC">
        <w:rPr>
          <w:rFonts w:ascii="Arial" w:hAnsi="Arial" w:cs="Arial"/>
          <w:sz w:val="20"/>
          <w:szCs w:val="20"/>
          <w:lang w:val="en-GB"/>
        </w:rPr>
        <w:t xml:space="preserve">Information about reported cases and </w:t>
      </w:r>
      <w:r w:rsidR="00085BD8" w:rsidRPr="009B39EC">
        <w:rPr>
          <w:rFonts w:ascii="Arial" w:hAnsi="Arial" w:cs="Arial"/>
          <w:sz w:val="20"/>
          <w:szCs w:val="20"/>
          <w:lang w:val="en-GB"/>
        </w:rPr>
        <w:t xml:space="preserve">their management </w:t>
      </w:r>
      <w:r w:rsidR="00BF41FF" w:rsidRPr="009B39EC">
        <w:rPr>
          <w:rFonts w:ascii="Arial" w:hAnsi="Arial" w:cs="Arial"/>
          <w:sz w:val="20"/>
          <w:szCs w:val="20"/>
          <w:lang w:val="en-GB"/>
        </w:rPr>
        <w:t>within the CRM is held in an electronic system</w:t>
      </w:r>
      <w:r w:rsidR="004E1005" w:rsidRPr="009B39EC">
        <w:rPr>
          <w:rFonts w:ascii="Arial" w:hAnsi="Arial" w:cs="Arial"/>
          <w:sz w:val="20"/>
          <w:szCs w:val="20"/>
          <w:lang w:val="en-GB"/>
        </w:rPr>
        <w:t xml:space="preserve"> (REVALB) </w:t>
      </w:r>
      <w:r w:rsidR="00BF41FF" w:rsidRPr="009B39EC">
        <w:rPr>
          <w:rFonts w:ascii="Arial" w:hAnsi="Arial" w:cs="Arial"/>
          <w:sz w:val="20"/>
          <w:szCs w:val="20"/>
          <w:lang w:val="en-GB"/>
        </w:rPr>
        <w:t xml:space="preserve">which is </w:t>
      </w:r>
      <w:r w:rsidR="00085BD8" w:rsidRPr="009B39EC">
        <w:rPr>
          <w:rFonts w:ascii="Arial" w:hAnsi="Arial" w:cs="Arial"/>
          <w:sz w:val="20"/>
          <w:szCs w:val="20"/>
          <w:lang w:val="en-GB"/>
        </w:rPr>
        <w:t>now operational</w:t>
      </w:r>
      <w:r w:rsidR="00BF41FF" w:rsidRPr="009B39EC">
        <w:rPr>
          <w:rFonts w:ascii="Arial" w:hAnsi="Arial" w:cs="Arial"/>
          <w:sz w:val="20"/>
          <w:szCs w:val="20"/>
          <w:lang w:val="en-GB"/>
        </w:rPr>
        <w:t xml:space="preserve"> in all </w:t>
      </w:r>
      <w:r w:rsidR="004E1005" w:rsidRPr="009B39EC">
        <w:rPr>
          <w:rFonts w:ascii="Arial" w:hAnsi="Arial" w:cs="Arial"/>
          <w:sz w:val="20"/>
          <w:szCs w:val="20"/>
          <w:lang w:val="en-GB"/>
        </w:rPr>
        <w:t xml:space="preserve">61 </w:t>
      </w:r>
      <w:r w:rsidR="00BF41FF" w:rsidRPr="009B39EC">
        <w:rPr>
          <w:rFonts w:ascii="Arial" w:hAnsi="Arial" w:cs="Arial"/>
          <w:sz w:val="20"/>
          <w:szCs w:val="20"/>
          <w:lang w:val="en-GB"/>
        </w:rPr>
        <w:t>municipalities in the country</w:t>
      </w:r>
      <w:r w:rsidR="00CB59BC" w:rsidRPr="009B39EC">
        <w:rPr>
          <w:rFonts w:ascii="Arial" w:hAnsi="Arial" w:cs="Arial"/>
          <w:sz w:val="20"/>
          <w:szCs w:val="20"/>
          <w:lang w:val="en-GB"/>
        </w:rPr>
        <w:t xml:space="preserve"> and regularly updated by the LC</w:t>
      </w:r>
      <w:r w:rsidR="007C684F" w:rsidRPr="009B39EC">
        <w:rPr>
          <w:rFonts w:ascii="Arial" w:hAnsi="Arial" w:cs="Arial"/>
          <w:sz w:val="20"/>
          <w:szCs w:val="20"/>
          <w:lang w:val="en-GB"/>
        </w:rPr>
        <w:t>s</w:t>
      </w:r>
      <w:r w:rsidR="004E1005" w:rsidRPr="009B39EC">
        <w:rPr>
          <w:rFonts w:ascii="Arial" w:hAnsi="Arial" w:cs="Arial"/>
          <w:sz w:val="20"/>
          <w:szCs w:val="20"/>
          <w:lang w:val="en-GB"/>
        </w:rPr>
        <w:t xml:space="preserve">. </w:t>
      </w:r>
      <w:r w:rsidR="00CB59BC" w:rsidRPr="009B39EC">
        <w:rPr>
          <w:rFonts w:ascii="Arial" w:hAnsi="Arial" w:cs="Arial"/>
          <w:sz w:val="20"/>
          <w:szCs w:val="20"/>
          <w:lang w:val="en-GB"/>
        </w:rPr>
        <w:t xml:space="preserve">A new </w:t>
      </w:r>
      <w:r w:rsidR="00440756" w:rsidRPr="009B39EC">
        <w:rPr>
          <w:rFonts w:ascii="Arial" w:hAnsi="Arial" w:cs="Arial"/>
          <w:sz w:val="20"/>
          <w:szCs w:val="20"/>
          <w:lang w:val="en-GB"/>
        </w:rPr>
        <w:t>DCoM</w:t>
      </w:r>
      <w:r w:rsidR="00CB59BC" w:rsidRPr="009B39EC">
        <w:rPr>
          <w:rFonts w:ascii="Arial" w:hAnsi="Arial" w:cs="Arial"/>
          <w:sz w:val="20"/>
          <w:szCs w:val="20"/>
          <w:lang w:val="en-GB"/>
        </w:rPr>
        <w:t xml:space="preserve"> regulating the functioning of the </w:t>
      </w:r>
      <w:r w:rsidR="00BF41FF" w:rsidRPr="009B39EC">
        <w:rPr>
          <w:rFonts w:ascii="Arial" w:hAnsi="Arial" w:cs="Arial"/>
          <w:sz w:val="20"/>
          <w:szCs w:val="20"/>
          <w:lang w:val="en-GB"/>
        </w:rPr>
        <w:t>CRM</w:t>
      </w:r>
      <w:r w:rsidR="00085BD8" w:rsidRPr="009B39EC">
        <w:rPr>
          <w:rFonts w:ascii="Arial" w:hAnsi="Arial" w:cs="Arial"/>
          <w:sz w:val="20"/>
          <w:szCs w:val="20"/>
          <w:lang w:val="en-GB"/>
        </w:rPr>
        <w:t>s</w:t>
      </w:r>
      <w:r w:rsidR="004E1005" w:rsidRPr="009B39EC">
        <w:rPr>
          <w:rFonts w:ascii="Arial" w:hAnsi="Arial" w:cs="Arial"/>
          <w:sz w:val="20"/>
          <w:szCs w:val="20"/>
          <w:lang w:val="en-GB"/>
        </w:rPr>
        <w:t xml:space="preserve"> </w:t>
      </w:r>
      <w:r w:rsidR="00CB59BC" w:rsidRPr="009B39EC">
        <w:rPr>
          <w:rFonts w:ascii="Arial" w:hAnsi="Arial" w:cs="Arial"/>
          <w:sz w:val="20"/>
          <w:szCs w:val="20"/>
          <w:lang w:val="en-GB"/>
        </w:rPr>
        <w:t>was adopted in June</w:t>
      </w:r>
      <w:r w:rsidR="004E1005" w:rsidRPr="009B39EC">
        <w:rPr>
          <w:rFonts w:ascii="Arial" w:hAnsi="Arial" w:cs="Arial"/>
          <w:sz w:val="20"/>
          <w:szCs w:val="20"/>
          <w:lang w:val="en-GB"/>
        </w:rPr>
        <w:t xml:space="preserve"> 2021</w:t>
      </w:r>
      <w:r w:rsidR="00CB59BC" w:rsidRPr="009B39EC">
        <w:rPr>
          <w:rFonts w:ascii="Arial" w:hAnsi="Arial" w:cs="Arial"/>
          <w:sz w:val="20"/>
          <w:szCs w:val="20"/>
          <w:lang w:val="en-GB"/>
        </w:rPr>
        <w:t>. It contains more extensive references to the Istanbul Convention and addresses all forms of violence against women</w:t>
      </w:r>
      <w:r w:rsidR="004E1005" w:rsidRPr="009B39EC">
        <w:rPr>
          <w:rFonts w:ascii="Arial" w:hAnsi="Arial" w:cs="Arial"/>
          <w:sz w:val="20"/>
          <w:szCs w:val="20"/>
          <w:lang w:val="en-GB"/>
        </w:rPr>
        <w:t>.</w:t>
      </w:r>
    </w:p>
    <w:p w14:paraId="3F83CBBC" w14:textId="4AA777AA" w:rsidR="00625196" w:rsidRPr="009B39EC" w:rsidRDefault="00C91B33" w:rsidP="00625196">
      <w:pPr>
        <w:jc w:val="both"/>
        <w:rPr>
          <w:rFonts w:ascii="Arial" w:hAnsi="Arial" w:cs="Arial"/>
          <w:sz w:val="20"/>
          <w:szCs w:val="20"/>
          <w:lang w:val="en-GB"/>
        </w:rPr>
      </w:pPr>
      <w:r w:rsidRPr="009B39EC">
        <w:rPr>
          <w:rFonts w:ascii="Arial" w:hAnsi="Arial" w:cs="Arial"/>
          <w:sz w:val="20"/>
          <w:szCs w:val="20"/>
          <w:lang w:val="en-GB"/>
        </w:rPr>
        <w:t xml:space="preserve">The adoption of the Criminal Justice for Children Code was a step forward </w:t>
      </w:r>
      <w:r w:rsidR="00085BD8" w:rsidRPr="009B39EC">
        <w:rPr>
          <w:rFonts w:ascii="Arial" w:hAnsi="Arial" w:cs="Arial"/>
          <w:sz w:val="20"/>
          <w:szCs w:val="20"/>
          <w:lang w:val="en-GB"/>
        </w:rPr>
        <w:t xml:space="preserve">towards </w:t>
      </w:r>
      <w:r w:rsidRPr="009B39EC">
        <w:rPr>
          <w:rFonts w:ascii="Arial" w:hAnsi="Arial" w:cs="Arial"/>
          <w:sz w:val="20"/>
          <w:szCs w:val="20"/>
          <w:lang w:val="en-GB"/>
        </w:rPr>
        <w:t xml:space="preserve">the fulfilment of </w:t>
      </w:r>
      <w:r w:rsidR="00A11D76" w:rsidRPr="009B39EC">
        <w:rPr>
          <w:rFonts w:ascii="Arial" w:hAnsi="Arial" w:cs="Arial"/>
          <w:b/>
          <w:bCs/>
          <w:sz w:val="20"/>
          <w:szCs w:val="20"/>
          <w:lang w:val="en-GB"/>
        </w:rPr>
        <w:t>recommendation</w:t>
      </w:r>
      <w:r w:rsidR="00085BD8" w:rsidRPr="009B39EC">
        <w:rPr>
          <w:rFonts w:ascii="Arial" w:hAnsi="Arial" w:cs="Arial"/>
          <w:b/>
          <w:bCs/>
          <w:sz w:val="20"/>
          <w:szCs w:val="20"/>
          <w:lang w:val="en-GB"/>
        </w:rPr>
        <w:t xml:space="preserve"> </w:t>
      </w:r>
      <w:r w:rsidRPr="009B39EC">
        <w:rPr>
          <w:rFonts w:ascii="Arial" w:hAnsi="Arial" w:cs="Arial"/>
          <w:b/>
          <w:bCs/>
          <w:sz w:val="20"/>
          <w:szCs w:val="20"/>
          <w:lang w:val="en-GB"/>
        </w:rPr>
        <w:t>17</w:t>
      </w:r>
      <w:r w:rsidRPr="009B39EC">
        <w:rPr>
          <w:rFonts w:ascii="Arial" w:hAnsi="Arial" w:cs="Arial"/>
          <w:sz w:val="20"/>
          <w:szCs w:val="20"/>
          <w:lang w:val="en-GB"/>
        </w:rPr>
        <w:t>, while amendments to the Criminal Procedure Code</w:t>
      </w:r>
      <w:r w:rsidR="00085BD8" w:rsidRPr="009B39EC">
        <w:rPr>
          <w:rFonts w:ascii="Arial" w:hAnsi="Arial" w:cs="Arial"/>
          <w:sz w:val="20"/>
          <w:szCs w:val="20"/>
          <w:lang w:val="en-GB"/>
        </w:rPr>
        <w:t xml:space="preserve"> which address</w:t>
      </w:r>
      <w:r w:rsidRPr="009B39EC">
        <w:rPr>
          <w:rFonts w:ascii="Arial" w:hAnsi="Arial" w:cs="Arial"/>
          <w:sz w:val="20"/>
          <w:szCs w:val="20"/>
          <w:lang w:val="en-GB"/>
        </w:rPr>
        <w:t xml:space="preserve"> issues </w:t>
      </w:r>
      <w:r w:rsidR="00085BD8" w:rsidRPr="009B39EC">
        <w:rPr>
          <w:rFonts w:ascii="Arial" w:hAnsi="Arial" w:cs="Arial"/>
          <w:sz w:val="20"/>
          <w:szCs w:val="20"/>
          <w:lang w:val="en-GB"/>
        </w:rPr>
        <w:t xml:space="preserve">such as the </w:t>
      </w:r>
      <w:r w:rsidRPr="009B39EC">
        <w:rPr>
          <w:rFonts w:ascii="Arial" w:hAnsi="Arial" w:cs="Arial"/>
          <w:sz w:val="20"/>
          <w:szCs w:val="20"/>
          <w:lang w:val="en-GB"/>
        </w:rPr>
        <w:t xml:space="preserve">rights of victims of crimes in the criminal procedure, including the rights of minors or sexually abused victims, or </w:t>
      </w:r>
      <w:r w:rsidR="00085BD8" w:rsidRPr="009B39EC">
        <w:rPr>
          <w:rFonts w:ascii="Arial" w:hAnsi="Arial" w:cs="Arial"/>
          <w:sz w:val="20"/>
          <w:szCs w:val="20"/>
          <w:lang w:val="en-GB"/>
        </w:rPr>
        <w:t xml:space="preserve">the rights of </w:t>
      </w:r>
      <w:r w:rsidRPr="009B39EC">
        <w:rPr>
          <w:rFonts w:ascii="Arial" w:hAnsi="Arial" w:cs="Arial"/>
          <w:sz w:val="20"/>
          <w:szCs w:val="20"/>
          <w:lang w:val="en-GB"/>
        </w:rPr>
        <w:t xml:space="preserve">victims of trafficking in human beings, </w:t>
      </w:r>
      <w:r w:rsidR="00BC1626" w:rsidRPr="009B39EC">
        <w:rPr>
          <w:rFonts w:ascii="Arial" w:hAnsi="Arial" w:cs="Arial"/>
          <w:sz w:val="20"/>
          <w:szCs w:val="20"/>
          <w:lang w:val="en-GB"/>
        </w:rPr>
        <w:t xml:space="preserve">are measures taken in response to </w:t>
      </w:r>
      <w:r w:rsidR="00A11D76" w:rsidRPr="009B39EC">
        <w:rPr>
          <w:rFonts w:ascii="Arial" w:hAnsi="Arial" w:cs="Arial"/>
          <w:b/>
          <w:bCs/>
          <w:sz w:val="20"/>
          <w:szCs w:val="20"/>
          <w:lang w:val="en-GB"/>
        </w:rPr>
        <w:t>recommendations</w:t>
      </w:r>
      <w:r w:rsidR="00085BD8" w:rsidRPr="009B39EC">
        <w:rPr>
          <w:rFonts w:ascii="Arial" w:hAnsi="Arial" w:cs="Arial"/>
          <w:b/>
          <w:bCs/>
          <w:sz w:val="20"/>
          <w:szCs w:val="20"/>
          <w:lang w:val="en-GB"/>
        </w:rPr>
        <w:t xml:space="preserve"> </w:t>
      </w:r>
      <w:r w:rsidRPr="009B39EC">
        <w:rPr>
          <w:rFonts w:ascii="Arial" w:hAnsi="Arial" w:cs="Arial"/>
          <w:b/>
          <w:bCs/>
          <w:sz w:val="20"/>
          <w:szCs w:val="20"/>
          <w:lang w:val="en-GB"/>
        </w:rPr>
        <w:t>17 and 18</w:t>
      </w:r>
      <w:r w:rsidRPr="009B39EC">
        <w:rPr>
          <w:rFonts w:ascii="Arial" w:hAnsi="Arial" w:cs="Arial"/>
          <w:sz w:val="20"/>
          <w:szCs w:val="20"/>
          <w:lang w:val="en-GB"/>
        </w:rPr>
        <w:t xml:space="preserve">. </w:t>
      </w:r>
    </w:p>
    <w:p w14:paraId="2DDAFC8C" w14:textId="15F08C97" w:rsidR="00625196" w:rsidRPr="009B39EC" w:rsidRDefault="00CB59BC" w:rsidP="00625196">
      <w:pPr>
        <w:jc w:val="both"/>
        <w:rPr>
          <w:rFonts w:ascii="Arial" w:hAnsi="Arial" w:cs="Arial"/>
          <w:sz w:val="20"/>
          <w:szCs w:val="20"/>
          <w:lang w:val="en-GB"/>
        </w:rPr>
      </w:pPr>
      <w:r w:rsidRPr="009B39EC">
        <w:rPr>
          <w:rFonts w:ascii="Arial" w:hAnsi="Arial" w:cs="Arial"/>
          <w:sz w:val="20"/>
          <w:szCs w:val="20"/>
          <w:lang w:val="en-GB"/>
        </w:rPr>
        <w:t xml:space="preserve">An important achievement </w:t>
      </w:r>
      <w:r w:rsidR="00BC1626" w:rsidRPr="009B39EC">
        <w:rPr>
          <w:rFonts w:ascii="Arial" w:hAnsi="Arial" w:cs="Arial"/>
          <w:sz w:val="20"/>
          <w:szCs w:val="20"/>
          <w:lang w:val="en-GB"/>
        </w:rPr>
        <w:t>regarding</w:t>
      </w:r>
      <w:r w:rsidRPr="009B39EC">
        <w:rPr>
          <w:rFonts w:ascii="Arial" w:hAnsi="Arial" w:cs="Arial"/>
          <w:sz w:val="20"/>
          <w:szCs w:val="20"/>
          <w:lang w:val="en-GB"/>
        </w:rPr>
        <w:t xml:space="preserve"> </w:t>
      </w:r>
      <w:r w:rsidR="00A11D76" w:rsidRPr="009B39EC">
        <w:rPr>
          <w:rFonts w:ascii="Arial" w:hAnsi="Arial" w:cs="Arial"/>
          <w:b/>
          <w:bCs/>
          <w:sz w:val="20"/>
          <w:szCs w:val="20"/>
          <w:lang w:val="en-GB"/>
        </w:rPr>
        <w:t xml:space="preserve">recommendation </w:t>
      </w:r>
      <w:r w:rsidR="0000741E" w:rsidRPr="009B39EC">
        <w:rPr>
          <w:rFonts w:ascii="Arial" w:hAnsi="Arial" w:cs="Arial"/>
          <w:b/>
          <w:bCs/>
          <w:sz w:val="20"/>
          <w:szCs w:val="20"/>
          <w:lang w:val="en-GB"/>
        </w:rPr>
        <w:t>9</w:t>
      </w:r>
      <w:r w:rsidRPr="009B39EC">
        <w:rPr>
          <w:rFonts w:ascii="Arial" w:hAnsi="Arial" w:cs="Arial"/>
          <w:b/>
          <w:bCs/>
          <w:sz w:val="20"/>
          <w:szCs w:val="20"/>
          <w:lang w:val="en-GB"/>
        </w:rPr>
        <w:t xml:space="preserve">, </w:t>
      </w:r>
      <w:r w:rsidRPr="009B39EC">
        <w:rPr>
          <w:rFonts w:ascii="Arial" w:hAnsi="Arial" w:cs="Arial"/>
          <w:sz w:val="20"/>
          <w:szCs w:val="20"/>
          <w:lang w:val="en-GB"/>
        </w:rPr>
        <w:t xml:space="preserve">is the establishment </w:t>
      </w:r>
      <w:r w:rsidR="00BC1626" w:rsidRPr="009B39EC">
        <w:rPr>
          <w:rFonts w:ascii="Arial" w:hAnsi="Arial" w:cs="Arial"/>
          <w:sz w:val="20"/>
          <w:szCs w:val="20"/>
          <w:lang w:val="en-GB"/>
        </w:rPr>
        <w:t xml:space="preserve">in December 2018 </w:t>
      </w:r>
      <w:r w:rsidRPr="009B39EC">
        <w:rPr>
          <w:rFonts w:ascii="Arial" w:hAnsi="Arial" w:cs="Arial"/>
          <w:sz w:val="20"/>
          <w:szCs w:val="20"/>
          <w:lang w:val="en-GB"/>
        </w:rPr>
        <w:t xml:space="preserve">of the </w:t>
      </w:r>
      <w:r w:rsidRPr="009B39EC">
        <w:rPr>
          <w:rFonts w:ascii="Arial" w:hAnsi="Arial" w:cs="Arial"/>
          <w:b/>
          <w:bCs/>
          <w:i/>
          <w:iCs/>
          <w:sz w:val="20"/>
          <w:szCs w:val="20"/>
          <w:lang w:val="en-GB"/>
        </w:rPr>
        <w:t>first centre for the examination and treatment of sexual violence cases</w:t>
      </w:r>
      <w:r w:rsidR="00625196" w:rsidRPr="009B39EC">
        <w:rPr>
          <w:rFonts w:ascii="Arial" w:hAnsi="Arial" w:cs="Arial"/>
          <w:sz w:val="20"/>
          <w:szCs w:val="20"/>
          <w:lang w:val="en-GB"/>
        </w:rPr>
        <w:t xml:space="preserve"> </w:t>
      </w:r>
      <w:r w:rsidRPr="009B39EC">
        <w:rPr>
          <w:rFonts w:ascii="Arial" w:hAnsi="Arial" w:cs="Arial"/>
          <w:sz w:val="20"/>
          <w:szCs w:val="20"/>
          <w:lang w:val="en-GB"/>
        </w:rPr>
        <w:t>in Albania,</w:t>
      </w:r>
      <w:r w:rsidR="00625196" w:rsidRPr="009B39EC">
        <w:rPr>
          <w:rFonts w:ascii="Arial" w:hAnsi="Arial" w:cs="Arial"/>
          <w:sz w:val="20"/>
          <w:szCs w:val="20"/>
          <w:lang w:val="en-GB"/>
        </w:rPr>
        <w:t xml:space="preserve"> </w:t>
      </w:r>
      <w:r w:rsidRPr="009B39EC">
        <w:rPr>
          <w:rFonts w:ascii="Arial" w:hAnsi="Arial" w:cs="Arial"/>
          <w:sz w:val="20"/>
          <w:szCs w:val="20"/>
          <w:lang w:val="en-GB"/>
        </w:rPr>
        <w:t xml:space="preserve">which </w:t>
      </w:r>
      <w:r w:rsidR="00BC1626" w:rsidRPr="009B39EC">
        <w:rPr>
          <w:rFonts w:ascii="Arial" w:hAnsi="Arial" w:cs="Arial"/>
          <w:sz w:val="20"/>
          <w:szCs w:val="20"/>
          <w:lang w:val="en-GB"/>
        </w:rPr>
        <w:t>operates</w:t>
      </w:r>
      <w:r w:rsidRPr="009B39EC">
        <w:rPr>
          <w:rFonts w:ascii="Arial" w:hAnsi="Arial" w:cs="Arial"/>
          <w:sz w:val="20"/>
          <w:szCs w:val="20"/>
          <w:lang w:val="en-GB"/>
        </w:rPr>
        <w:t xml:space="preserve"> in accordance with approved standards. In</w:t>
      </w:r>
      <w:r w:rsidR="00625196" w:rsidRPr="009B39EC">
        <w:rPr>
          <w:rFonts w:ascii="Arial" w:hAnsi="Arial" w:cs="Arial"/>
          <w:sz w:val="20"/>
          <w:szCs w:val="20"/>
          <w:lang w:val="en-GB"/>
        </w:rPr>
        <w:t xml:space="preserve"> 2019 </w:t>
      </w:r>
      <w:r w:rsidR="00C91B33" w:rsidRPr="009B39EC">
        <w:rPr>
          <w:rFonts w:ascii="Arial" w:hAnsi="Arial" w:cs="Arial"/>
          <w:sz w:val="20"/>
          <w:szCs w:val="20"/>
          <w:lang w:val="en-GB"/>
        </w:rPr>
        <w:t>and 2020</w:t>
      </w:r>
      <w:r w:rsidRPr="009B39EC">
        <w:rPr>
          <w:rFonts w:ascii="Arial" w:hAnsi="Arial" w:cs="Arial"/>
          <w:sz w:val="20"/>
          <w:szCs w:val="20"/>
          <w:lang w:val="en-GB"/>
        </w:rPr>
        <w:t>, th</w:t>
      </w:r>
      <w:r w:rsidR="00BC1626" w:rsidRPr="009B39EC">
        <w:rPr>
          <w:rFonts w:ascii="Arial" w:hAnsi="Arial" w:cs="Arial"/>
          <w:sz w:val="20"/>
          <w:szCs w:val="20"/>
          <w:lang w:val="en-GB"/>
        </w:rPr>
        <w:t xml:space="preserve">e </w:t>
      </w:r>
      <w:r w:rsidRPr="009B39EC">
        <w:rPr>
          <w:rFonts w:ascii="Arial" w:hAnsi="Arial" w:cs="Arial"/>
          <w:sz w:val="20"/>
          <w:szCs w:val="20"/>
          <w:lang w:val="en-GB"/>
        </w:rPr>
        <w:t>centre managed 84 cases</w:t>
      </w:r>
      <w:r w:rsidR="0098080C" w:rsidRPr="009B39EC">
        <w:rPr>
          <w:rFonts w:ascii="Arial" w:hAnsi="Arial" w:cs="Arial"/>
          <w:sz w:val="20"/>
          <w:szCs w:val="20"/>
          <w:lang w:val="en-GB"/>
        </w:rPr>
        <w:t>, who were offered medical and forensic examination, the necessary health and psych</w:t>
      </w:r>
      <w:r w:rsidR="00BC1626" w:rsidRPr="009B39EC">
        <w:rPr>
          <w:rFonts w:ascii="Arial" w:hAnsi="Arial" w:cs="Arial"/>
          <w:sz w:val="20"/>
          <w:szCs w:val="20"/>
          <w:lang w:val="en-GB"/>
        </w:rPr>
        <w:t>o</w:t>
      </w:r>
      <w:r w:rsidR="0098080C" w:rsidRPr="009B39EC">
        <w:rPr>
          <w:rFonts w:ascii="Arial" w:hAnsi="Arial" w:cs="Arial"/>
          <w:sz w:val="20"/>
          <w:szCs w:val="20"/>
          <w:lang w:val="en-GB"/>
        </w:rPr>
        <w:t xml:space="preserve">-social services, food, clothing and sanitary services, </w:t>
      </w:r>
      <w:r w:rsidR="00BC1626" w:rsidRPr="009B39EC">
        <w:rPr>
          <w:rFonts w:ascii="Arial" w:hAnsi="Arial" w:cs="Arial"/>
          <w:sz w:val="20"/>
          <w:szCs w:val="20"/>
          <w:lang w:val="en-GB"/>
        </w:rPr>
        <w:t xml:space="preserve">and further </w:t>
      </w:r>
      <w:r w:rsidR="0098080C" w:rsidRPr="009B39EC">
        <w:rPr>
          <w:rFonts w:ascii="Arial" w:hAnsi="Arial" w:cs="Arial"/>
          <w:sz w:val="20"/>
          <w:szCs w:val="20"/>
          <w:lang w:val="en-GB"/>
        </w:rPr>
        <w:t>referral</w:t>
      </w:r>
      <w:r w:rsidR="00BC1626" w:rsidRPr="009B39EC">
        <w:rPr>
          <w:rFonts w:ascii="Arial" w:hAnsi="Arial" w:cs="Arial"/>
          <w:sz w:val="20"/>
          <w:szCs w:val="20"/>
          <w:lang w:val="en-GB"/>
        </w:rPr>
        <w:t xml:space="preserve"> </w:t>
      </w:r>
      <w:r w:rsidR="0098080C" w:rsidRPr="009B39EC">
        <w:rPr>
          <w:rFonts w:ascii="Arial" w:hAnsi="Arial" w:cs="Arial"/>
          <w:sz w:val="20"/>
          <w:szCs w:val="20"/>
          <w:lang w:val="en-GB"/>
        </w:rPr>
        <w:t xml:space="preserve">to other </w:t>
      </w:r>
      <w:r w:rsidR="00BC1626" w:rsidRPr="009B39EC">
        <w:rPr>
          <w:rFonts w:ascii="Arial" w:hAnsi="Arial" w:cs="Arial"/>
          <w:sz w:val="20"/>
          <w:szCs w:val="20"/>
          <w:lang w:val="en-GB"/>
        </w:rPr>
        <w:t xml:space="preserve">specialised </w:t>
      </w:r>
      <w:r w:rsidR="0098080C" w:rsidRPr="009B39EC">
        <w:rPr>
          <w:rFonts w:ascii="Arial" w:hAnsi="Arial" w:cs="Arial"/>
          <w:sz w:val="20"/>
          <w:szCs w:val="20"/>
          <w:lang w:val="en-GB"/>
        </w:rPr>
        <w:t>services for long</w:t>
      </w:r>
      <w:r w:rsidR="00BC1626" w:rsidRPr="009B39EC">
        <w:rPr>
          <w:rFonts w:ascii="Arial" w:hAnsi="Arial" w:cs="Arial"/>
          <w:sz w:val="20"/>
          <w:szCs w:val="20"/>
          <w:lang w:val="en-GB"/>
        </w:rPr>
        <w:t>er</w:t>
      </w:r>
      <w:r w:rsidR="0098080C" w:rsidRPr="009B39EC">
        <w:rPr>
          <w:rFonts w:ascii="Arial" w:hAnsi="Arial" w:cs="Arial"/>
          <w:sz w:val="20"/>
          <w:szCs w:val="20"/>
          <w:lang w:val="en-GB"/>
        </w:rPr>
        <w:t xml:space="preserve"> term treatment. In addition, the centre has also drafted rule</w:t>
      </w:r>
      <w:r w:rsidR="00BC1626" w:rsidRPr="009B39EC">
        <w:rPr>
          <w:rFonts w:ascii="Arial" w:hAnsi="Arial" w:cs="Arial"/>
          <w:sz w:val="20"/>
          <w:szCs w:val="20"/>
          <w:lang w:val="en-GB"/>
        </w:rPr>
        <w:t xml:space="preserve">s on the </w:t>
      </w:r>
      <w:r w:rsidR="0098080C" w:rsidRPr="009B39EC">
        <w:rPr>
          <w:rFonts w:ascii="Arial" w:hAnsi="Arial" w:cs="Arial"/>
          <w:sz w:val="20"/>
          <w:szCs w:val="20"/>
          <w:lang w:val="en-GB"/>
        </w:rPr>
        <w:t xml:space="preserve">functioning of the centre in </w:t>
      </w:r>
      <w:r w:rsidR="007C684F" w:rsidRPr="009B39EC">
        <w:rPr>
          <w:rFonts w:ascii="Arial" w:hAnsi="Arial" w:cs="Arial"/>
          <w:sz w:val="20"/>
          <w:szCs w:val="20"/>
          <w:lang w:val="en-GB"/>
        </w:rPr>
        <w:t>situation</w:t>
      </w:r>
      <w:r w:rsidR="00BC1626" w:rsidRPr="009B39EC">
        <w:rPr>
          <w:rFonts w:ascii="Arial" w:hAnsi="Arial" w:cs="Arial"/>
          <w:sz w:val="20"/>
          <w:szCs w:val="20"/>
          <w:lang w:val="en-GB"/>
        </w:rPr>
        <w:t xml:space="preserve">s of public health emergencies or </w:t>
      </w:r>
      <w:r w:rsidR="0098080C" w:rsidRPr="009B39EC">
        <w:rPr>
          <w:rFonts w:ascii="Arial" w:hAnsi="Arial" w:cs="Arial"/>
          <w:sz w:val="20"/>
          <w:szCs w:val="20"/>
          <w:lang w:val="en-GB"/>
        </w:rPr>
        <w:t>natural disaster</w:t>
      </w:r>
      <w:r w:rsidR="00BC1626" w:rsidRPr="009B39EC">
        <w:rPr>
          <w:rFonts w:ascii="Arial" w:hAnsi="Arial" w:cs="Arial"/>
          <w:sz w:val="20"/>
          <w:szCs w:val="20"/>
          <w:lang w:val="en-GB"/>
        </w:rPr>
        <w:t>s</w:t>
      </w:r>
      <w:r w:rsidR="0098080C" w:rsidRPr="009B39EC">
        <w:rPr>
          <w:rFonts w:ascii="Arial" w:hAnsi="Arial" w:cs="Arial"/>
          <w:sz w:val="20"/>
          <w:szCs w:val="20"/>
          <w:lang w:val="en-GB"/>
        </w:rPr>
        <w:t xml:space="preserve"> (following the situation created </w:t>
      </w:r>
      <w:proofErr w:type="gramStart"/>
      <w:r w:rsidR="007C684F" w:rsidRPr="009B39EC">
        <w:rPr>
          <w:rFonts w:ascii="Arial" w:hAnsi="Arial" w:cs="Arial"/>
          <w:sz w:val="20"/>
          <w:szCs w:val="20"/>
          <w:lang w:val="en-GB"/>
        </w:rPr>
        <w:t>as a result of</w:t>
      </w:r>
      <w:proofErr w:type="gramEnd"/>
      <w:r w:rsidR="007C684F" w:rsidRPr="009B39EC">
        <w:rPr>
          <w:rFonts w:ascii="Arial" w:hAnsi="Arial" w:cs="Arial"/>
          <w:sz w:val="20"/>
          <w:szCs w:val="20"/>
          <w:lang w:val="en-GB"/>
        </w:rPr>
        <w:t xml:space="preserve"> the </w:t>
      </w:r>
      <w:r w:rsidR="0098080C" w:rsidRPr="009B39EC">
        <w:rPr>
          <w:rFonts w:ascii="Arial" w:hAnsi="Arial" w:cs="Arial"/>
          <w:sz w:val="20"/>
          <w:szCs w:val="20"/>
          <w:lang w:val="en-GB"/>
        </w:rPr>
        <w:t>Covid-19</w:t>
      </w:r>
      <w:r w:rsidR="007C684F" w:rsidRPr="009B39EC">
        <w:rPr>
          <w:rFonts w:ascii="Arial" w:hAnsi="Arial" w:cs="Arial"/>
          <w:sz w:val="20"/>
          <w:szCs w:val="20"/>
          <w:lang w:val="en-GB"/>
        </w:rPr>
        <w:t xml:space="preserve"> pandemic</w:t>
      </w:r>
      <w:r w:rsidR="00625196" w:rsidRPr="009B39EC">
        <w:rPr>
          <w:rFonts w:ascii="Arial" w:hAnsi="Arial" w:cs="Arial"/>
          <w:sz w:val="20"/>
          <w:szCs w:val="20"/>
          <w:lang w:val="en-GB"/>
        </w:rPr>
        <w:t xml:space="preserve">). </w:t>
      </w:r>
      <w:r w:rsidR="0098080C" w:rsidRPr="009B39EC">
        <w:rPr>
          <w:rFonts w:ascii="Arial" w:hAnsi="Arial" w:cs="Arial"/>
          <w:sz w:val="20"/>
          <w:szCs w:val="20"/>
          <w:lang w:val="en-GB"/>
        </w:rPr>
        <w:t xml:space="preserve">The members of the Coordinated Referral Mechanism </w:t>
      </w:r>
      <w:r w:rsidR="00BC1626" w:rsidRPr="009B39EC">
        <w:rPr>
          <w:rFonts w:ascii="Arial" w:hAnsi="Arial" w:cs="Arial"/>
          <w:sz w:val="20"/>
          <w:szCs w:val="20"/>
          <w:lang w:val="en-GB"/>
        </w:rPr>
        <w:t>have also received a</w:t>
      </w:r>
      <w:r w:rsidR="0098080C" w:rsidRPr="009B39EC">
        <w:rPr>
          <w:rFonts w:ascii="Arial" w:hAnsi="Arial" w:cs="Arial"/>
          <w:sz w:val="20"/>
          <w:szCs w:val="20"/>
          <w:lang w:val="en-GB"/>
        </w:rPr>
        <w:t xml:space="preserve"> protocol on the management of</w:t>
      </w:r>
      <w:r w:rsidR="00BC1626" w:rsidRPr="009B39EC">
        <w:rPr>
          <w:rFonts w:ascii="Arial" w:hAnsi="Arial" w:cs="Arial"/>
          <w:sz w:val="20"/>
          <w:szCs w:val="20"/>
          <w:lang w:val="en-GB"/>
        </w:rPr>
        <w:t xml:space="preserve"> </w:t>
      </w:r>
      <w:r w:rsidR="0098080C" w:rsidRPr="009B39EC">
        <w:rPr>
          <w:rFonts w:ascii="Arial" w:hAnsi="Arial" w:cs="Arial"/>
          <w:sz w:val="20"/>
          <w:szCs w:val="20"/>
          <w:lang w:val="en-GB"/>
        </w:rPr>
        <w:t xml:space="preserve">adult sexual abuse </w:t>
      </w:r>
      <w:r w:rsidR="00BC1626" w:rsidRPr="009B39EC">
        <w:rPr>
          <w:rFonts w:ascii="Arial" w:hAnsi="Arial" w:cs="Arial"/>
          <w:sz w:val="20"/>
          <w:szCs w:val="20"/>
          <w:lang w:val="en-GB"/>
        </w:rPr>
        <w:t xml:space="preserve">cases, </w:t>
      </w:r>
      <w:r w:rsidR="0098080C" w:rsidRPr="009B39EC">
        <w:rPr>
          <w:rFonts w:ascii="Arial" w:hAnsi="Arial" w:cs="Arial"/>
          <w:sz w:val="20"/>
          <w:szCs w:val="20"/>
          <w:lang w:val="en-GB"/>
        </w:rPr>
        <w:t>based on a coordinated multi-sectoral approach</w:t>
      </w:r>
      <w:r w:rsidR="00625196" w:rsidRPr="009B39EC">
        <w:rPr>
          <w:rFonts w:ascii="Arial" w:hAnsi="Arial" w:cs="Arial"/>
          <w:sz w:val="20"/>
          <w:szCs w:val="20"/>
          <w:lang w:val="en-GB"/>
        </w:rPr>
        <w:t xml:space="preserve">.  </w:t>
      </w:r>
    </w:p>
    <w:p w14:paraId="2A4AA2B4" w14:textId="7E4454A5" w:rsidR="00625196" w:rsidRPr="009B39EC" w:rsidRDefault="00BC1626" w:rsidP="00625196">
      <w:pPr>
        <w:jc w:val="both"/>
        <w:rPr>
          <w:rFonts w:ascii="Arial" w:hAnsi="Arial" w:cs="Arial"/>
          <w:sz w:val="20"/>
          <w:szCs w:val="20"/>
          <w:lang w:val="en-GB"/>
        </w:rPr>
      </w:pPr>
      <w:r w:rsidRPr="009B39EC">
        <w:rPr>
          <w:rFonts w:ascii="Arial" w:hAnsi="Arial" w:cs="Arial"/>
          <w:sz w:val="20"/>
          <w:szCs w:val="20"/>
          <w:lang w:val="en-GB"/>
        </w:rPr>
        <w:t>There have been s</w:t>
      </w:r>
      <w:r w:rsidR="00C91B33" w:rsidRPr="009B39EC">
        <w:rPr>
          <w:rFonts w:ascii="Arial" w:hAnsi="Arial" w:cs="Arial"/>
          <w:sz w:val="20"/>
          <w:szCs w:val="20"/>
          <w:lang w:val="en-GB"/>
        </w:rPr>
        <w:t>everal</w:t>
      </w:r>
      <w:r w:rsidR="0000741E" w:rsidRPr="009B39EC">
        <w:rPr>
          <w:rFonts w:ascii="Arial" w:hAnsi="Arial" w:cs="Arial"/>
          <w:sz w:val="20"/>
          <w:szCs w:val="20"/>
          <w:lang w:val="en-GB"/>
        </w:rPr>
        <w:t xml:space="preserve"> positive achievements in relation to </w:t>
      </w:r>
      <w:r w:rsidR="00924683"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 xml:space="preserve">recommendation </w:t>
      </w:r>
      <w:r w:rsidR="0000741E" w:rsidRPr="009B39EC">
        <w:rPr>
          <w:rFonts w:ascii="Arial" w:hAnsi="Arial" w:cs="Arial"/>
          <w:b/>
          <w:bCs/>
          <w:sz w:val="20"/>
          <w:szCs w:val="20"/>
          <w:lang w:val="en-GB"/>
        </w:rPr>
        <w:t>3</w:t>
      </w:r>
      <w:r w:rsidR="00625196" w:rsidRPr="009B39EC">
        <w:rPr>
          <w:rFonts w:ascii="Arial" w:hAnsi="Arial" w:cs="Arial"/>
          <w:sz w:val="20"/>
          <w:szCs w:val="20"/>
          <w:lang w:val="en-GB"/>
        </w:rPr>
        <w:t xml:space="preserve">, </w:t>
      </w:r>
      <w:r w:rsidR="0000741E" w:rsidRPr="009B39EC">
        <w:rPr>
          <w:rFonts w:ascii="Arial" w:hAnsi="Arial" w:cs="Arial"/>
          <w:sz w:val="20"/>
          <w:szCs w:val="20"/>
          <w:lang w:val="en-GB"/>
        </w:rPr>
        <w:t>w</w:t>
      </w:r>
      <w:r w:rsidR="007C684F" w:rsidRPr="009B39EC">
        <w:rPr>
          <w:rFonts w:ascii="Arial" w:hAnsi="Arial" w:cs="Arial"/>
          <w:sz w:val="20"/>
          <w:szCs w:val="20"/>
          <w:lang w:val="en-GB"/>
        </w:rPr>
        <w:t xml:space="preserve">ith a focus </w:t>
      </w:r>
      <w:r w:rsidR="0000741E" w:rsidRPr="009B39EC">
        <w:rPr>
          <w:rFonts w:ascii="Arial" w:hAnsi="Arial" w:cs="Arial"/>
          <w:sz w:val="20"/>
          <w:szCs w:val="20"/>
          <w:lang w:val="en-GB"/>
        </w:rPr>
        <w:t xml:space="preserve">on promoting a clear understanding within the society of the gendered nature of violence against women and its unacceptability </w:t>
      </w:r>
      <w:r w:rsidR="00A11D76" w:rsidRPr="009B39EC">
        <w:rPr>
          <w:rFonts w:ascii="Arial" w:hAnsi="Arial" w:cs="Arial"/>
          <w:sz w:val="20"/>
          <w:szCs w:val="20"/>
          <w:lang w:val="en-GB"/>
        </w:rPr>
        <w:t>under</w:t>
      </w:r>
      <w:r w:rsidR="0000741E" w:rsidRPr="009B39EC">
        <w:rPr>
          <w:rFonts w:ascii="Arial" w:hAnsi="Arial" w:cs="Arial"/>
          <w:sz w:val="20"/>
          <w:szCs w:val="20"/>
          <w:lang w:val="en-GB"/>
        </w:rPr>
        <w:t xml:space="preserve"> any circumstance</w:t>
      </w:r>
      <w:r w:rsidR="00A11D76" w:rsidRPr="009B39EC">
        <w:rPr>
          <w:rFonts w:ascii="Arial" w:hAnsi="Arial" w:cs="Arial"/>
          <w:sz w:val="20"/>
          <w:szCs w:val="20"/>
          <w:lang w:val="en-GB"/>
        </w:rPr>
        <w:t>s</w:t>
      </w:r>
      <w:r w:rsidR="00625196" w:rsidRPr="009B39EC">
        <w:rPr>
          <w:rFonts w:ascii="Arial" w:hAnsi="Arial" w:cs="Arial"/>
          <w:sz w:val="20"/>
          <w:szCs w:val="20"/>
          <w:lang w:val="en-GB"/>
        </w:rPr>
        <w:t xml:space="preserve">. </w:t>
      </w:r>
      <w:r w:rsidRPr="009B39EC">
        <w:rPr>
          <w:rFonts w:ascii="Arial" w:hAnsi="Arial" w:cs="Arial"/>
          <w:sz w:val="20"/>
          <w:szCs w:val="20"/>
          <w:lang w:val="en-GB"/>
        </w:rPr>
        <w:t>Worthy of mention in this respect are the</w:t>
      </w:r>
      <w:r w:rsidR="0000741E" w:rsidRPr="009B39EC">
        <w:rPr>
          <w:rFonts w:ascii="Arial" w:hAnsi="Arial" w:cs="Arial"/>
          <w:sz w:val="20"/>
          <w:szCs w:val="20"/>
          <w:lang w:val="en-GB"/>
        </w:rPr>
        <w:t xml:space="preserve"> public awareness campaigns</w:t>
      </w:r>
      <w:r w:rsidRPr="009B39EC">
        <w:rPr>
          <w:rFonts w:ascii="Arial" w:hAnsi="Arial" w:cs="Arial"/>
          <w:sz w:val="20"/>
          <w:szCs w:val="20"/>
          <w:lang w:val="en-GB"/>
        </w:rPr>
        <w:t xml:space="preserve"> held annually</w:t>
      </w:r>
      <w:r w:rsidR="0000741E" w:rsidRPr="009B39EC">
        <w:rPr>
          <w:rFonts w:ascii="Arial" w:hAnsi="Arial" w:cs="Arial"/>
          <w:sz w:val="20"/>
          <w:szCs w:val="20"/>
          <w:lang w:val="en-GB"/>
        </w:rPr>
        <w:t xml:space="preserve"> in the </w:t>
      </w:r>
      <w:r w:rsidRPr="009B39EC">
        <w:rPr>
          <w:rFonts w:ascii="Arial" w:hAnsi="Arial" w:cs="Arial"/>
          <w:sz w:val="20"/>
          <w:szCs w:val="20"/>
          <w:lang w:val="en-GB"/>
        </w:rPr>
        <w:t xml:space="preserve">context </w:t>
      </w:r>
      <w:r w:rsidR="0000741E" w:rsidRPr="009B39EC">
        <w:rPr>
          <w:rFonts w:ascii="Arial" w:hAnsi="Arial" w:cs="Arial"/>
          <w:sz w:val="20"/>
          <w:szCs w:val="20"/>
          <w:lang w:val="en-GB"/>
        </w:rPr>
        <w:t xml:space="preserve">of </w:t>
      </w:r>
      <w:r w:rsidR="00A11D76" w:rsidRPr="009B39EC">
        <w:rPr>
          <w:rFonts w:ascii="Arial" w:hAnsi="Arial" w:cs="Arial"/>
          <w:sz w:val="20"/>
          <w:szCs w:val="20"/>
          <w:lang w:val="en-GB"/>
        </w:rPr>
        <w:t xml:space="preserve">“The </w:t>
      </w:r>
      <w:r w:rsidR="0000741E" w:rsidRPr="009B39EC">
        <w:rPr>
          <w:rFonts w:ascii="Arial" w:hAnsi="Arial" w:cs="Arial"/>
          <w:sz w:val="20"/>
          <w:szCs w:val="20"/>
          <w:lang w:val="en-GB"/>
        </w:rPr>
        <w:t>16 days of activism</w:t>
      </w:r>
      <w:r w:rsidR="00A11D76" w:rsidRPr="009B39EC">
        <w:rPr>
          <w:rFonts w:ascii="Arial" w:hAnsi="Arial" w:cs="Arial"/>
          <w:sz w:val="20"/>
          <w:szCs w:val="20"/>
          <w:lang w:val="en-GB"/>
        </w:rPr>
        <w:t>”</w:t>
      </w:r>
      <w:r w:rsidRPr="009B39EC">
        <w:rPr>
          <w:rFonts w:ascii="Arial" w:hAnsi="Arial" w:cs="Arial"/>
          <w:sz w:val="20"/>
          <w:szCs w:val="20"/>
          <w:lang w:val="en-GB"/>
        </w:rPr>
        <w:t xml:space="preserve">, </w:t>
      </w:r>
      <w:r w:rsidR="0000741E" w:rsidRPr="009B39EC">
        <w:rPr>
          <w:rFonts w:ascii="Arial" w:hAnsi="Arial" w:cs="Arial"/>
          <w:sz w:val="20"/>
          <w:szCs w:val="20"/>
          <w:lang w:val="en-GB"/>
        </w:rPr>
        <w:t xml:space="preserve">the coordination of campaigns </w:t>
      </w:r>
      <w:r w:rsidRPr="009B39EC">
        <w:rPr>
          <w:rFonts w:ascii="Arial" w:hAnsi="Arial" w:cs="Arial"/>
          <w:sz w:val="20"/>
          <w:szCs w:val="20"/>
          <w:lang w:val="en-GB"/>
        </w:rPr>
        <w:t xml:space="preserve">focusing on tackling </w:t>
      </w:r>
      <w:r w:rsidR="0000741E" w:rsidRPr="009B39EC">
        <w:rPr>
          <w:rFonts w:ascii="Arial" w:hAnsi="Arial" w:cs="Arial"/>
          <w:sz w:val="20"/>
          <w:szCs w:val="20"/>
          <w:lang w:val="en-GB"/>
        </w:rPr>
        <w:t xml:space="preserve">gender stereotypes and harmful traditional practices, </w:t>
      </w:r>
      <w:r w:rsidRPr="009B39EC">
        <w:rPr>
          <w:rFonts w:ascii="Arial" w:hAnsi="Arial" w:cs="Arial"/>
          <w:sz w:val="20"/>
          <w:szCs w:val="20"/>
          <w:lang w:val="en-GB"/>
        </w:rPr>
        <w:t xml:space="preserve">and the publication of the </w:t>
      </w:r>
      <w:r w:rsidR="00440756" w:rsidRPr="009B39EC">
        <w:rPr>
          <w:rFonts w:ascii="Arial" w:hAnsi="Arial" w:cs="Arial"/>
          <w:sz w:val="20"/>
          <w:szCs w:val="20"/>
          <w:lang w:val="en-GB"/>
        </w:rPr>
        <w:t>second National Survey on Gender-Based Violence and Domestic Violence in June 2019</w:t>
      </w:r>
      <w:r w:rsidR="00625196" w:rsidRPr="009B39EC">
        <w:rPr>
          <w:rFonts w:ascii="Arial" w:hAnsi="Arial" w:cs="Arial"/>
          <w:sz w:val="20"/>
          <w:szCs w:val="20"/>
          <w:lang w:val="en-GB"/>
        </w:rPr>
        <w:t xml:space="preserve">. </w:t>
      </w:r>
    </w:p>
    <w:p w14:paraId="0D8E480F" w14:textId="187BA4D6" w:rsidR="00625196" w:rsidRPr="009B39EC" w:rsidRDefault="00440756" w:rsidP="00625196">
      <w:pPr>
        <w:jc w:val="both"/>
        <w:rPr>
          <w:rFonts w:ascii="Arial" w:hAnsi="Arial" w:cs="Arial"/>
          <w:sz w:val="20"/>
          <w:szCs w:val="20"/>
          <w:lang w:val="en-GB"/>
        </w:rPr>
      </w:pPr>
      <w:r w:rsidRPr="009B39EC">
        <w:rPr>
          <w:rFonts w:ascii="Arial" w:hAnsi="Arial" w:cs="Arial"/>
          <w:sz w:val="20"/>
          <w:szCs w:val="20"/>
          <w:lang w:val="en-GB"/>
        </w:rPr>
        <w:t xml:space="preserve">Important achievements were </w:t>
      </w:r>
      <w:r w:rsidR="00A11D76" w:rsidRPr="009B39EC">
        <w:rPr>
          <w:rFonts w:ascii="Arial" w:hAnsi="Arial" w:cs="Arial"/>
          <w:sz w:val="20"/>
          <w:szCs w:val="20"/>
          <w:lang w:val="en-GB"/>
        </w:rPr>
        <w:t xml:space="preserve">also </w:t>
      </w:r>
      <w:r w:rsidRPr="009B39EC">
        <w:rPr>
          <w:rFonts w:ascii="Arial" w:hAnsi="Arial" w:cs="Arial"/>
          <w:sz w:val="20"/>
          <w:szCs w:val="20"/>
          <w:lang w:val="en-GB"/>
        </w:rPr>
        <w:t>ma</w:t>
      </w:r>
      <w:r w:rsidR="00A11D76" w:rsidRPr="009B39EC">
        <w:rPr>
          <w:rFonts w:ascii="Arial" w:hAnsi="Arial" w:cs="Arial"/>
          <w:sz w:val="20"/>
          <w:szCs w:val="20"/>
          <w:lang w:val="en-GB"/>
        </w:rPr>
        <w:t>de</w:t>
      </w:r>
      <w:r w:rsidRPr="009B39EC">
        <w:rPr>
          <w:rFonts w:ascii="Arial" w:hAnsi="Arial" w:cs="Arial"/>
          <w:sz w:val="20"/>
          <w:szCs w:val="20"/>
          <w:lang w:val="en-GB"/>
        </w:rPr>
        <w:t xml:space="preserve"> </w:t>
      </w:r>
      <w:r w:rsidR="00A11D76" w:rsidRPr="009B39EC">
        <w:rPr>
          <w:rFonts w:ascii="Arial" w:hAnsi="Arial" w:cs="Arial"/>
          <w:sz w:val="20"/>
          <w:szCs w:val="20"/>
          <w:lang w:val="en-GB"/>
        </w:rPr>
        <w:t>regarding</w:t>
      </w:r>
      <w:r w:rsidRPr="009B39EC">
        <w:rPr>
          <w:rFonts w:ascii="Arial" w:hAnsi="Arial" w:cs="Arial"/>
          <w:sz w:val="20"/>
          <w:szCs w:val="20"/>
          <w:lang w:val="en-GB"/>
        </w:rPr>
        <w:t xml:space="preserve"> the implementation of </w:t>
      </w:r>
      <w:r w:rsidR="00924683"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 xml:space="preserve">recommendations </w:t>
      </w:r>
      <w:r w:rsidR="00625196" w:rsidRPr="009B39EC">
        <w:rPr>
          <w:rFonts w:ascii="Arial" w:hAnsi="Arial" w:cs="Arial"/>
          <w:b/>
          <w:bCs/>
          <w:sz w:val="20"/>
          <w:szCs w:val="20"/>
          <w:lang w:val="en-GB"/>
        </w:rPr>
        <w:t xml:space="preserve">4, 5 </w:t>
      </w:r>
      <w:r w:rsidRPr="009B39EC">
        <w:rPr>
          <w:rFonts w:ascii="Arial" w:hAnsi="Arial" w:cs="Arial"/>
          <w:b/>
          <w:bCs/>
          <w:sz w:val="20"/>
          <w:szCs w:val="20"/>
          <w:lang w:val="en-GB"/>
        </w:rPr>
        <w:t>and</w:t>
      </w:r>
      <w:r w:rsidR="00625196" w:rsidRPr="009B39EC">
        <w:rPr>
          <w:rFonts w:ascii="Arial" w:hAnsi="Arial" w:cs="Arial"/>
          <w:b/>
          <w:bCs/>
          <w:sz w:val="20"/>
          <w:szCs w:val="20"/>
          <w:lang w:val="en-GB"/>
        </w:rPr>
        <w:t xml:space="preserve"> 6</w:t>
      </w:r>
      <w:r w:rsidR="00625196" w:rsidRPr="009B39EC">
        <w:rPr>
          <w:rFonts w:ascii="Arial" w:hAnsi="Arial" w:cs="Arial"/>
          <w:sz w:val="20"/>
          <w:szCs w:val="20"/>
          <w:lang w:val="en-GB"/>
        </w:rPr>
        <w:t xml:space="preserve">. </w:t>
      </w:r>
      <w:r w:rsidRPr="009B39EC">
        <w:rPr>
          <w:rFonts w:ascii="Arial" w:hAnsi="Arial" w:cs="Arial"/>
          <w:sz w:val="20"/>
          <w:szCs w:val="20"/>
          <w:lang w:val="en-GB"/>
        </w:rPr>
        <w:t xml:space="preserve">The relevant DCoM </w:t>
      </w:r>
      <w:r w:rsidR="00A11D76" w:rsidRPr="009B39EC">
        <w:rPr>
          <w:rFonts w:ascii="Arial" w:hAnsi="Arial" w:cs="Arial"/>
          <w:sz w:val="20"/>
          <w:szCs w:val="20"/>
          <w:lang w:val="en-GB"/>
        </w:rPr>
        <w:t xml:space="preserve">regulating </w:t>
      </w:r>
      <w:r w:rsidRPr="009B39EC">
        <w:rPr>
          <w:rFonts w:ascii="Arial" w:hAnsi="Arial" w:cs="Arial"/>
          <w:sz w:val="20"/>
          <w:szCs w:val="20"/>
          <w:lang w:val="en-GB"/>
        </w:rPr>
        <w:t xml:space="preserve">the </w:t>
      </w:r>
      <w:r w:rsidR="00A11D76" w:rsidRPr="009B39EC">
        <w:rPr>
          <w:rFonts w:ascii="Arial" w:hAnsi="Arial" w:cs="Arial"/>
          <w:sz w:val="20"/>
          <w:szCs w:val="20"/>
          <w:lang w:val="en-GB"/>
        </w:rPr>
        <w:t xml:space="preserve">organisation and </w:t>
      </w:r>
      <w:r w:rsidRPr="009B39EC">
        <w:rPr>
          <w:rFonts w:ascii="Arial" w:hAnsi="Arial" w:cs="Arial"/>
          <w:sz w:val="20"/>
          <w:szCs w:val="20"/>
          <w:lang w:val="en-GB"/>
        </w:rPr>
        <w:t xml:space="preserve">functioning of the </w:t>
      </w:r>
      <w:r w:rsidR="008A479E" w:rsidRPr="009B39EC">
        <w:rPr>
          <w:rFonts w:ascii="Arial" w:hAnsi="Arial" w:cs="Arial"/>
          <w:sz w:val="20"/>
          <w:szCs w:val="20"/>
          <w:lang w:val="en-GB"/>
        </w:rPr>
        <w:t>NCGE</w:t>
      </w:r>
      <w:r w:rsidR="00625196" w:rsidRPr="009B39EC">
        <w:rPr>
          <w:rFonts w:ascii="Arial" w:hAnsi="Arial" w:cs="Arial"/>
          <w:sz w:val="20"/>
          <w:szCs w:val="20"/>
          <w:lang w:val="en-GB"/>
        </w:rPr>
        <w:t xml:space="preserve"> </w:t>
      </w:r>
      <w:r w:rsidRPr="009B39EC">
        <w:rPr>
          <w:rFonts w:ascii="Arial" w:hAnsi="Arial" w:cs="Arial"/>
          <w:sz w:val="20"/>
          <w:szCs w:val="20"/>
          <w:lang w:val="en-GB"/>
        </w:rPr>
        <w:t xml:space="preserve">now </w:t>
      </w:r>
      <w:r w:rsidR="00A11D76" w:rsidRPr="009B39EC">
        <w:rPr>
          <w:rFonts w:ascii="Arial" w:hAnsi="Arial" w:cs="Arial"/>
          <w:sz w:val="20"/>
          <w:szCs w:val="20"/>
          <w:lang w:val="en-GB"/>
        </w:rPr>
        <w:t xml:space="preserve">contains </w:t>
      </w:r>
      <w:r w:rsidR="00900B72" w:rsidRPr="009B39EC">
        <w:rPr>
          <w:rFonts w:ascii="Arial" w:hAnsi="Arial" w:cs="Arial"/>
          <w:sz w:val="20"/>
          <w:szCs w:val="20"/>
          <w:lang w:val="en-GB"/>
        </w:rPr>
        <w:t xml:space="preserve">additional </w:t>
      </w:r>
      <w:r w:rsidRPr="009B39EC">
        <w:rPr>
          <w:rFonts w:ascii="Arial" w:hAnsi="Arial" w:cs="Arial"/>
          <w:sz w:val="20"/>
          <w:szCs w:val="20"/>
          <w:lang w:val="en-GB"/>
        </w:rPr>
        <w:t xml:space="preserve">provisions </w:t>
      </w:r>
      <w:r w:rsidR="00A11D76" w:rsidRPr="009B39EC">
        <w:rPr>
          <w:rFonts w:ascii="Arial" w:hAnsi="Arial" w:cs="Arial"/>
          <w:sz w:val="20"/>
          <w:szCs w:val="20"/>
          <w:lang w:val="en-GB"/>
        </w:rPr>
        <w:t>on its</w:t>
      </w:r>
      <w:r w:rsidRPr="009B39EC">
        <w:rPr>
          <w:rFonts w:ascii="Arial" w:hAnsi="Arial" w:cs="Arial"/>
          <w:sz w:val="20"/>
          <w:szCs w:val="20"/>
          <w:lang w:val="en-GB"/>
        </w:rPr>
        <w:t xml:space="preserve"> monitoring role. </w:t>
      </w:r>
      <w:r w:rsidR="00A11D76" w:rsidRPr="009B39EC">
        <w:rPr>
          <w:rFonts w:ascii="Arial" w:hAnsi="Arial" w:cs="Arial"/>
          <w:sz w:val="20"/>
          <w:szCs w:val="20"/>
          <w:lang w:val="en-GB"/>
        </w:rPr>
        <w:t xml:space="preserve">Since </w:t>
      </w:r>
      <w:r w:rsidR="00900B72" w:rsidRPr="009B39EC">
        <w:rPr>
          <w:rFonts w:ascii="Arial" w:hAnsi="Arial" w:cs="Arial"/>
          <w:sz w:val="20"/>
          <w:szCs w:val="20"/>
          <w:lang w:val="en-GB"/>
        </w:rPr>
        <w:t xml:space="preserve">the </w:t>
      </w:r>
      <w:r w:rsidR="00A11D76" w:rsidRPr="009B39EC">
        <w:rPr>
          <w:rFonts w:ascii="Arial" w:hAnsi="Arial" w:cs="Arial"/>
          <w:sz w:val="20"/>
          <w:szCs w:val="20"/>
          <w:lang w:val="en-GB"/>
        </w:rPr>
        <w:t xml:space="preserve">legislative </w:t>
      </w:r>
      <w:r w:rsidRPr="009B39EC">
        <w:rPr>
          <w:rFonts w:ascii="Arial" w:hAnsi="Arial" w:cs="Arial"/>
          <w:sz w:val="20"/>
          <w:szCs w:val="20"/>
          <w:lang w:val="en-GB"/>
        </w:rPr>
        <w:t xml:space="preserve">amendments </w:t>
      </w:r>
      <w:r w:rsidR="00A11D76" w:rsidRPr="009B39EC">
        <w:rPr>
          <w:rFonts w:ascii="Arial" w:hAnsi="Arial" w:cs="Arial"/>
          <w:sz w:val="20"/>
          <w:szCs w:val="20"/>
          <w:lang w:val="en-GB"/>
        </w:rPr>
        <w:t xml:space="preserve">introduced during </w:t>
      </w:r>
      <w:r w:rsidR="00625196" w:rsidRPr="009B39EC">
        <w:rPr>
          <w:rFonts w:ascii="Arial" w:hAnsi="Arial" w:cs="Arial"/>
          <w:sz w:val="20"/>
          <w:szCs w:val="20"/>
          <w:lang w:val="en-GB"/>
        </w:rPr>
        <w:t>2016</w:t>
      </w:r>
      <w:r w:rsidR="00A11D76" w:rsidRPr="009B39EC">
        <w:rPr>
          <w:rFonts w:ascii="Arial" w:hAnsi="Arial" w:cs="Arial"/>
          <w:sz w:val="20"/>
          <w:szCs w:val="20"/>
          <w:lang w:val="en-GB"/>
        </w:rPr>
        <w:t xml:space="preserve"> and 2</w:t>
      </w:r>
      <w:r w:rsidR="00625196" w:rsidRPr="009B39EC">
        <w:rPr>
          <w:rFonts w:ascii="Arial" w:hAnsi="Arial" w:cs="Arial"/>
          <w:sz w:val="20"/>
          <w:szCs w:val="20"/>
          <w:lang w:val="en-GB"/>
        </w:rPr>
        <w:t>017</w:t>
      </w:r>
      <w:r w:rsidRPr="009B39EC">
        <w:rPr>
          <w:rFonts w:ascii="Arial" w:hAnsi="Arial" w:cs="Arial"/>
          <w:sz w:val="20"/>
          <w:szCs w:val="20"/>
          <w:lang w:val="en-GB"/>
        </w:rPr>
        <w:t xml:space="preserve">, </w:t>
      </w:r>
      <w:r w:rsidR="00A11D76" w:rsidRPr="009B39EC">
        <w:rPr>
          <w:rFonts w:ascii="Arial" w:hAnsi="Arial" w:cs="Arial"/>
          <w:sz w:val="20"/>
          <w:szCs w:val="20"/>
          <w:lang w:val="en-GB"/>
        </w:rPr>
        <w:t xml:space="preserve">including on </w:t>
      </w:r>
      <w:r w:rsidRPr="009B39EC">
        <w:rPr>
          <w:rFonts w:ascii="Arial" w:hAnsi="Arial" w:cs="Arial"/>
          <w:sz w:val="20"/>
          <w:szCs w:val="20"/>
          <w:lang w:val="en-GB"/>
        </w:rPr>
        <w:t>the inclusion of gender-responsive budgeting as a legal obligation at the central and local self-government levels,</w:t>
      </w:r>
      <w:r w:rsidR="00625196" w:rsidRPr="009B39EC">
        <w:rPr>
          <w:rFonts w:ascii="Arial" w:hAnsi="Arial" w:cs="Arial"/>
          <w:sz w:val="20"/>
          <w:szCs w:val="20"/>
          <w:lang w:val="en-GB"/>
        </w:rPr>
        <w:t xml:space="preserve"> 36 </w:t>
      </w:r>
      <w:r w:rsidRPr="009B39EC">
        <w:rPr>
          <w:rFonts w:ascii="Arial" w:hAnsi="Arial" w:cs="Arial"/>
          <w:sz w:val="20"/>
          <w:szCs w:val="20"/>
          <w:lang w:val="en-GB"/>
        </w:rPr>
        <w:t xml:space="preserve">out of </w:t>
      </w:r>
      <w:r w:rsidR="00625196" w:rsidRPr="009B39EC">
        <w:rPr>
          <w:rFonts w:ascii="Arial" w:hAnsi="Arial" w:cs="Arial"/>
          <w:sz w:val="20"/>
          <w:szCs w:val="20"/>
          <w:lang w:val="en-GB"/>
        </w:rPr>
        <w:t xml:space="preserve">75 </w:t>
      </w:r>
      <w:r w:rsidRPr="009B39EC">
        <w:rPr>
          <w:rFonts w:ascii="Arial" w:hAnsi="Arial" w:cs="Arial"/>
          <w:sz w:val="20"/>
          <w:szCs w:val="20"/>
          <w:lang w:val="en-GB"/>
        </w:rPr>
        <w:t>budget program</w:t>
      </w:r>
      <w:r w:rsidR="00900B72" w:rsidRPr="009B39EC">
        <w:rPr>
          <w:rFonts w:ascii="Arial" w:hAnsi="Arial" w:cs="Arial"/>
          <w:sz w:val="20"/>
          <w:szCs w:val="20"/>
          <w:lang w:val="en-GB"/>
        </w:rPr>
        <w:t>me</w:t>
      </w:r>
      <w:r w:rsidRPr="009B39EC">
        <w:rPr>
          <w:rFonts w:ascii="Arial" w:hAnsi="Arial" w:cs="Arial"/>
          <w:sz w:val="20"/>
          <w:szCs w:val="20"/>
          <w:lang w:val="en-GB"/>
        </w:rPr>
        <w:t xml:space="preserve">s have effectively included gender-responsive budgeting in their </w:t>
      </w:r>
      <w:r w:rsidR="00C91B33" w:rsidRPr="009B39EC">
        <w:rPr>
          <w:rFonts w:ascii="Arial" w:hAnsi="Arial" w:cs="Arial"/>
          <w:sz w:val="20"/>
          <w:szCs w:val="20"/>
          <w:lang w:val="en-GB"/>
        </w:rPr>
        <w:t>forecasts</w:t>
      </w:r>
      <w:r w:rsidR="006C3792" w:rsidRPr="009B39EC">
        <w:rPr>
          <w:rFonts w:ascii="Arial" w:hAnsi="Arial" w:cs="Arial"/>
          <w:sz w:val="20"/>
          <w:szCs w:val="20"/>
          <w:lang w:val="en-GB"/>
        </w:rPr>
        <w:t xml:space="preserve"> of budgetary expenditures at the central level</w:t>
      </w:r>
      <w:r w:rsidR="00900B72" w:rsidRPr="009B39EC">
        <w:rPr>
          <w:rFonts w:ascii="Arial" w:hAnsi="Arial" w:cs="Arial"/>
          <w:sz w:val="20"/>
          <w:szCs w:val="20"/>
          <w:lang w:val="en-GB"/>
        </w:rPr>
        <w:t xml:space="preserve"> at the end of the first phase of the drafting of the 2020-2022 MTB</w:t>
      </w:r>
      <w:r w:rsidR="006C3792" w:rsidRPr="009B39EC">
        <w:rPr>
          <w:rFonts w:ascii="Arial" w:hAnsi="Arial" w:cs="Arial"/>
          <w:sz w:val="20"/>
          <w:szCs w:val="20"/>
          <w:lang w:val="en-GB"/>
        </w:rPr>
        <w:t xml:space="preserve">. Also, in addition to </w:t>
      </w:r>
      <w:r w:rsidR="00900B72" w:rsidRPr="009B39EC">
        <w:rPr>
          <w:rFonts w:ascii="Arial" w:hAnsi="Arial" w:cs="Arial"/>
          <w:sz w:val="20"/>
          <w:szCs w:val="20"/>
          <w:lang w:val="en-GB"/>
        </w:rPr>
        <w:t xml:space="preserve">the provision of public </w:t>
      </w:r>
      <w:r w:rsidR="006C3792" w:rsidRPr="009B39EC">
        <w:rPr>
          <w:rFonts w:ascii="Arial" w:hAnsi="Arial" w:cs="Arial"/>
          <w:sz w:val="20"/>
          <w:szCs w:val="20"/>
          <w:lang w:val="en-GB"/>
        </w:rPr>
        <w:t xml:space="preserve">specialised support services, </w:t>
      </w:r>
      <w:r w:rsidR="00900B72" w:rsidRPr="009B39EC">
        <w:rPr>
          <w:rFonts w:ascii="Arial" w:hAnsi="Arial" w:cs="Arial"/>
          <w:sz w:val="20"/>
          <w:szCs w:val="20"/>
          <w:lang w:val="en-GB"/>
        </w:rPr>
        <w:t xml:space="preserve">the </w:t>
      </w:r>
      <w:r w:rsidR="00C021AA" w:rsidRPr="009B39EC">
        <w:rPr>
          <w:rFonts w:ascii="Arial" w:hAnsi="Arial" w:cs="Arial"/>
          <w:sz w:val="20"/>
          <w:szCs w:val="20"/>
          <w:lang w:val="en-GB"/>
        </w:rPr>
        <w:t>state budget also provides partial support to NPOs offering specialised services in the areas of and counselling and accommodation</w:t>
      </w:r>
      <w:r w:rsidR="00625196" w:rsidRPr="009B39EC">
        <w:rPr>
          <w:rFonts w:ascii="Arial" w:hAnsi="Arial" w:cs="Arial"/>
          <w:sz w:val="20"/>
          <w:szCs w:val="20"/>
          <w:lang w:val="en-GB"/>
        </w:rPr>
        <w:t>.</w:t>
      </w:r>
    </w:p>
    <w:p w14:paraId="0F014C6E" w14:textId="33030341" w:rsidR="00625196" w:rsidRPr="009B39EC" w:rsidRDefault="002459B3" w:rsidP="002003E9">
      <w:pPr>
        <w:jc w:val="both"/>
        <w:rPr>
          <w:rFonts w:ascii="Arial" w:hAnsi="Arial" w:cs="Arial"/>
          <w:sz w:val="20"/>
          <w:szCs w:val="20"/>
          <w:lang w:val="en-GB"/>
        </w:rPr>
      </w:pPr>
      <w:r w:rsidRPr="009B39EC">
        <w:rPr>
          <w:rFonts w:ascii="Arial" w:hAnsi="Arial" w:cs="Arial"/>
          <w:sz w:val="20"/>
          <w:szCs w:val="20"/>
          <w:lang w:val="en-GB"/>
        </w:rPr>
        <w:t xml:space="preserve">In relation to </w:t>
      </w:r>
      <w:r w:rsidR="00924683"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 xml:space="preserve">recommendation </w:t>
      </w:r>
      <w:r w:rsidR="00625196" w:rsidRPr="009B39EC">
        <w:rPr>
          <w:rFonts w:ascii="Arial" w:hAnsi="Arial" w:cs="Arial"/>
          <w:b/>
          <w:bCs/>
          <w:sz w:val="20"/>
          <w:szCs w:val="20"/>
          <w:lang w:val="en-GB"/>
        </w:rPr>
        <w:t>7</w:t>
      </w:r>
      <w:r w:rsidRPr="009B39EC">
        <w:rPr>
          <w:rFonts w:ascii="Arial" w:hAnsi="Arial" w:cs="Arial"/>
          <w:sz w:val="20"/>
          <w:szCs w:val="20"/>
          <w:lang w:val="en-GB"/>
        </w:rPr>
        <w:t xml:space="preserve">, the data </w:t>
      </w:r>
      <w:r w:rsidR="00B76C9A" w:rsidRPr="009B39EC">
        <w:rPr>
          <w:rFonts w:ascii="Arial" w:hAnsi="Arial" w:cs="Arial"/>
          <w:sz w:val="20"/>
          <w:szCs w:val="20"/>
          <w:lang w:val="en-GB"/>
        </w:rPr>
        <w:t>entry</w:t>
      </w:r>
      <w:r w:rsidRPr="009B39EC">
        <w:rPr>
          <w:rFonts w:ascii="Arial" w:hAnsi="Arial" w:cs="Arial"/>
          <w:sz w:val="20"/>
          <w:szCs w:val="20"/>
          <w:lang w:val="en-GB"/>
        </w:rPr>
        <w:t xml:space="preserve"> system for cases of domestic violence managed at the local level</w:t>
      </w:r>
      <w:r w:rsidR="00625196" w:rsidRPr="009B39EC">
        <w:rPr>
          <w:rFonts w:ascii="Arial" w:hAnsi="Arial" w:cs="Arial"/>
          <w:sz w:val="20"/>
          <w:szCs w:val="20"/>
          <w:lang w:val="en-GB"/>
        </w:rPr>
        <w:t xml:space="preserve"> (REVALB)</w:t>
      </w:r>
      <w:r w:rsidRPr="009B39EC">
        <w:rPr>
          <w:rFonts w:ascii="Arial" w:hAnsi="Arial" w:cs="Arial"/>
          <w:sz w:val="20"/>
          <w:szCs w:val="20"/>
          <w:lang w:val="en-GB"/>
        </w:rPr>
        <w:t xml:space="preserve"> has been improved</w:t>
      </w:r>
      <w:r w:rsidR="00B76C9A" w:rsidRPr="009B39EC">
        <w:rPr>
          <w:rFonts w:ascii="Arial" w:hAnsi="Arial" w:cs="Arial"/>
          <w:sz w:val="20"/>
          <w:szCs w:val="20"/>
          <w:lang w:val="en-GB"/>
        </w:rPr>
        <w:t xml:space="preserve"> and</w:t>
      </w:r>
      <w:r w:rsidRPr="009B39EC">
        <w:rPr>
          <w:rFonts w:ascii="Arial" w:hAnsi="Arial" w:cs="Arial"/>
          <w:sz w:val="20"/>
          <w:szCs w:val="20"/>
          <w:lang w:val="en-GB"/>
        </w:rPr>
        <w:t xml:space="preserve"> work is still ongoing for the coordination of data systems in general</w:t>
      </w:r>
      <w:r w:rsidR="00B76C9A" w:rsidRPr="009B39EC">
        <w:rPr>
          <w:rFonts w:ascii="Arial" w:hAnsi="Arial" w:cs="Arial"/>
          <w:sz w:val="20"/>
          <w:szCs w:val="20"/>
          <w:lang w:val="en-GB"/>
        </w:rPr>
        <w:t xml:space="preserve"> across institutions</w:t>
      </w:r>
      <w:r w:rsidR="00625196" w:rsidRPr="009B39EC">
        <w:rPr>
          <w:rFonts w:ascii="Arial" w:hAnsi="Arial" w:cs="Arial"/>
          <w:sz w:val="20"/>
          <w:szCs w:val="20"/>
          <w:lang w:val="en-GB"/>
        </w:rPr>
        <w:t xml:space="preserve">. </w:t>
      </w:r>
      <w:r w:rsidRPr="009B39EC">
        <w:rPr>
          <w:rFonts w:ascii="Arial" w:hAnsi="Arial" w:cs="Arial"/>
          <w:sz w:val="20"/>
          <w:szCs w:val="20"/>
          <w:lang w:val="en-GB"/>
        </w:rPr>
        <w:t xml:space="preserve">A joint instruction of the Ministry of Justice and the High Council of Justice on the collection of data on domestic violence cases issued in 2020, is another </w:t>
      </w:r>
      <w:r w:rsidR="00B76C9A" w:rsidRPr="009B39EC">
        <w:rPr>
          <w:rFonts w:ascii="Arial" w:hAnsi="Arial" w:cs="Arial"/>
          <w:sz w:val="20"/>
          <w:szCs w:val="20"/>
          <w:lang w:val="en-GB"/>
        </w:rPr>
        <w:t>indicator</w:t>
      </w:r>
      <w:r w:rsidRPr="009B39EC">
        <w:rPr>
          <w:rFonts w:ascii="Arial" w:hAnsi="Arial" w:cs="Arial"/>
          <w:sz w:val="20"/>
          <w:szCs w:val="20"/>
          <w:lang w:val="en-GB"/>
        </w:rPr>
        <w:t xml:space="preserve"> of </w:t>
      </w:r>
      <w:r w:rsidR="00B76C9A" w:rsidRPr="009B39EC">
        <w:rPr>
          <w:rFonts w:ascii="Arial" w:hAnsi="Arial" w:cs="Arial"/>
          <w:sz w:val="20"/>
          <w:szCs w:val="20"/>
          <w:lang w:val="en-GB"/>
        </w:rPr>
        <w:t xml:space="preserve">the </w:t>
      </w:r>
      <w:r w:rsidRPr="009B39EC">
        <w:rPr>
          <w:rFonts w:ascii="Arial" w:hAnsi="Arial" w:cs="Arial"/>
          <w:sz w:val="20"/>
          <w:szCs w:val="20"/>
          <w:lang w:val="en-GB"/>
        </w:rPr>
        <w:t xml:space="preserve">progress </w:t>
      </w:r>
      <w:r w:rsidR="00B76C9A" w:rsidRPr="009B39EC">
        <w:rPr>
          <w:rFonts w:ascii="Arial" w:hAnsi="Arial" w:cs="Arial"/>
          <w:sz w:val="20"/>
          <w:szCs w:val="20"/>
          <w:lang w:val="en-GB"/>
        </w:rPr>
        <w:t xml:space="preserve">made </w:t>
      </w:r>
      <w:r w:rsidRPr="009B39EC">
        <w:rPr>
          <w:rFonts w:ascii="Arial" w:hAnsi="Arial" w:cs="Arial"/>
          <w:sz w:val="20"/>
          <w:szCs w:val="20"/>
          <w:lang w:val="en-GB"/>
        </w:rPr>
        <w:t xml:space="preserve">towards the fulfilment of this </w:t>
      </w:r>
      <w:r w:rsidR="00924683" w:rsidRPr="009B39EC">
        <w:rPr>
          <w:rFonts w:ascii="Arial" w:hAnsi="Arial" w:cs="Arial"/>
          <w:sz w:val="20"/>
          <w:szCs w:val="20"/>
          <w:lang w:val="en-GB"/>
        </w:rPr>
        <w:t xml:space="preserve">urgent </w:t>
      </w:r>
      <w:proofErr w:type="gramStart"/>
      <w:r w:rsidR="00924683" w:rsidRPr="009B39EC">
        <w:rPr>
          <w:rFonts w:ascii="Arial" w:hAnsi="Arial" w:cs="Arial"/>
          <w:sz w:val="20"/>
          <w:szCs w:val="20"/>
          <w:lang w:val="en-GB"/>
        </w:rPr>
        <w:t xml:space="preserve">recommendation </w:t>
      </w:r>
      <w:r w:rsidR="00625196" w:rsidRPr="009B39EC">
        <w:rPr>
          <w:rFonts w:ascii="Arial" w:hAnsi="Arial" w:cs="Arial"/>
          <w:sz w:val="20"/>
          <w:szCs w:val="20"/>
          <w:lang w:val="en-GB"/>
        </w:rPr>
        <w:t>.</w:t>
      </w:r>
      <w:proofErr w:type="gramEnd"/>
    </w:p>
    <w:p w14:paraId="39FDA2EE" w14:textId="7F5A925A" w:rsidR="00625196" w:rsidRPr="009B39EC" w:rsidRDefault="002459B3" w:rsidP="002003E9">
      <w:pPr>
        <w:jc w:val="both"/>
        <w:rPr>
          <w:rFonts w:ascii="Arial" w:hAnsi="Arial" w:cs="Arial"/>
          <w:sz w:val="20"/>
          <w:szCs w:val="20"/>
          <w:lang w:val="en-GB"/>
        </w:rPr>
      </w:pPr>
      <w:r w:rsidRPr="009B39EC">
        <w:rPr>
          <w:rFonts w:ascii="Arial" w:hAnsi="Arial" w:cs="Arial"/>
          <w:sz w:val="20"/>
          <w:szCs w:val="20"/>
          <w:lang w:val="en-GB"/>
        </w:rPr>
        <w:t xml:space="preserve">In response to </w:t>
      </w:r>
      <w:r w:rsidR="00924683"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 xml:space="preserve">recommendation </w:t>
      </w:r>
      <w:r w:rsidR="00625196" w:rsidRPr="009B39EC">
        <w:rPr>
          <w:rFonts w:ascii="Arial" w:hAnsi="Arial" w:cs="Arial"/>
          <w:b/>
          <w:bCs/>
          <w:sz w:val="20"/>
          <w:szCs w:val="20"/>
          <w:lang w:val="en-GB"/>
        </w:rPr>
        <w:t>8</w:t>
      </w:r>
      <w:r w:rsidR="00625196" w:rsidRPr="009B39EC">
        <w:rPr>
          <w:rFonts w:ascii="Arial" w:hAnsi="Arial" w:cs="Arial"/>
          <w:sz w:val="20"/>
          <w:szCs w:val="20"/>
          <w:lang w:val="en-GB"/>
        </w:rPr>
        <w:t>,</w:t>
      </w:r>
      <w:r w:rsidRPr="009B39EC">
        <w:rPr>
          <w:rFonts w:ascii="Arial" w:hAnsi="Arial" w:cs="Arial"/>
          <w:sz w:val="20"/>
          <w:szCs w:val="20"/>
          <w:lang w:val="en-GB"/>
        </w:rPr>
        <w:t xml:space="preserve"> the work focused initially on the adoption of </w:t>
      </w:r>
      <w:r w:rsidR="00B76C9A" w:rsidRPr="009B39EC">
        <w:rPr>
          <w:rFonts w:ascii="Arial" w:hAnsi="Arial" w:cs="Arial"/>
          <w:sz w:val="20"/>
          <w:szCs w:val="20"/>
          <w:lang w:val="en-GB"/>
        </w:rPr>
        <w:t>a</w:t>
      </w:r>
      <w:r w:rsidRPr="009B39EC">
        <w:rPr>
          <w:rFonts w:ascii="Arial" w:hAnsi="Arial" w:cs="Arial"/>
          <w:sz w:val="20"/>
          <w:szCs w:val="20"/>
          <w:lang w:val="en-GB"/>
        </w:rPr>
        <w:t xml:space="preserve"> </w:t>
      </w:r>
      <w:r w:rsidR="00B76C9A" w:rsidRPr="009B39EC">
        <w:rPr>
          <w:rFonts w:ascii="Arial" w:hAnsi="Arial" w:cs="Arial"/>
          <w:sz w:val="20"/>
          <w:szCs w:val="20"/>
          <w:lang w:val="en-GB"/>
        </w:rPr>
        <w:t>comprehensive</w:t>
      </w:r>
      <w:r w:rsidRPr="009B39EC">
        <w:rPr>
          <w:rFonts w:ascii="Arial" w:hAnsi="Arial" w:cs="Arial"/>
          <w:sz w:val="20"/>
          <w:szCs w:val="20"/>
          <w:lang w:val="en-GB"/>
        </w:rPr>
        <w:t xml:space="preserve"> Standard Operating Procedures </w:t>
      </w:r>
      <w:r w:rsidR="00B76C9A" w:rsidRPr="009B39EC">
        <w:rPr>
          <w:rFonts w:ascii="Arial" w:hAnsi="Arial" w:cs="Arial"/>
          <w:sz w:val="20"/>
          <w:szCs w:val="20"/>
          <w:lang w:val="en-GB"/>
        </w:rPr>
        <w:t xml:space="preserve">package </w:t>
      </w:r>
      <w:r w:rsidRPr="009B39EC">
        <w:rPr>
          <w:rFonts w:ascii="Arial" w:hAnsi="Arial" w:cs="Arial"/>
          <w:sz w:val="20"/>
          <w:szCs w:val="20"/>
          <w:lang w:val="en-GB"/>
        </w:rPr>
        <w:t>which entered into force in February</w:t>
      </w:r>
      <w:r w:rsidR="00625196" w:rsidRPr="009B39EC">
        <w:rPr>
          <w:rFonts w:ascii="Arial" w:hAnsi="Arial" w:cs="Arial"/>
          <w:sz w:val="20"/>
          <w:szCs w:val="20"/>
          <w:lang w:val="en-GB"/>
        </w:rPr>
        <w:t xml:space="preserve"> 2020. </w:t>
      </w:r>
      <w:r w:rsidRPr="009B39EC">
        <w:rPr>
          <w:rFonts w:ascii="Arial" w:hAnsi="Arial" w:cs="Arial"/>
          <w:sz w:val="20"/>
          <w:szCs w:val="20"/>
          <w:lang w:val="en-GB"/>
        </w:rPr>
        <w:t xml:space="preserve">As of March </w:t>
      </w:r>
      <w:r w:rsidR="00625196" w:rsidRPr="009B39EC">
        <w:rPr>
          <w:rFonts w:ascii="Arial" w:hAnsi="Arial" w:cs="Arial"/>
          <w:sz w:val="20"/>
          <w:szCs w:val="20"/>
          <w:lang w:val="en-GB"/>
        </w:rPr>
        <w:t>2020</w:t>
      </w:r>
      <w:r w:rsidR="004C3F9B" w:rsidRPr="009B39EC">
        <w:rPr>
          <w:rFonts w:ascii="Arial" w:hAnsi="Arial" w:cs="Arial"/>
          <w:sz w:val="20"/>
          <w:szCs w:val="20"/>
          <w:lang w:val="en-GB"/>
        </w:rPr>
        <w:t>,</w:t>
      </w:r>
      <w:r w:rsidR="00625196" w:rsidRPr="009B39EC">
        <w:rPr>
          <w:rFonts w:ascii="Arial" w:hAnsi="Arial" w:cs="Arial"/>
          <w:sz w:val="20"/>
          <w:szCs w:val="20"/>
          <w:lang w:val="en-GB"/>
        </w:rPr>
        <w:t xml:space="preserve"> </w:t>
      </w:r>
      <w:r w:rsidRPr="009B39EC">
        <w:rPr>
          <w:rFonts w:ascii="Arial" w:hAnsi="Arial" w:cs="Arial"/>
          <w:sz w:val="20"/>
          <w:szCs w:val="20"/>
          <w:lang w:val="en-GB"/>
        </w:rPr>
        <w:t>training</w:t>
      </w:r>
      <w:r w:rsidR="004C3F9B" w:rsidRPr="009B39EC">
        <w:rPr>
          <w:rFonts w:ascii="Arial" w:hAnsi="Arial" w:cs="Arial"/>
          <w:sz w:val="20"/>
          <w:szCs w:val="20"/>
          <w:lang w:val="en-GB"/>
        </w:rPr>
        <w:t xml:space="preserve"> sessions based on accredited modules are</w:t>
      </w:r>
      <w:r w:rsidRPr="009B39EC">
        <w:rPr>
          <w:rFonts w:ascii="Arial" w:hAnsi="Arial" w:cs="Arial"/>
          <w:sz w:val="20"/>
          <w:szCs w:val="20"/>
          <w:lang w:val="en-GB"/>
        </w:rPr>
        <w:t xml:space="preserve"> being provided to health service and </w:t>
      </w:r>
      <w:r w:rsidRPr="009B39EC">
        <w:rPr>
          <w:rFonts w:ascii="Arial" w:hAnsi="Arial" w:cs="Arial"/>
          <w:sz w:val="20"/>
          <w:szCs w:val="20"/>
          <w:lang w:val="en-GB"/>
        </w:rPr>
        <w:lastRenderedPageBreak/>
        <w:t xml:space="preserve">social </w:t>
      </w:r>
      <w:r w:rsidR="004C3F9B" w:rsidRPr="009B39EC">
        <w:rPr>
          <w:rFonts w:ascii="Arial" w:hAnsi="Arial" w:cs="Arial"/>
          <w:sz w:val="20"/>
          <w:szCs w:val="20"/>
          <w:lang w:val="en-GB"/>
        </w:rPr>
        <w:t>services professionals</w:t>
      </w:r>
      <w:r w:rsidR="00625196" w:rsidRPr="009B39EC">
        <w:rPr>
          <w:rFonts w:ascii="Arial" w:hAnsi="Arial" w:cs="Arial"/>
          <w:sz w:val="20"/>
          <w:szCs w:val="20"/>
          <w:lang w:val="en-GB"/>
        </w:rPr>
        <w:t xml:space="preserve">. </w:t>
      </w:r>
      <w:r w:rsidR="004C3F9B" w:rsidRPr="009B39EC">
        <w:rPr>
          <w:rFonts w:ascii="Arial" w:hAnsi="Arial" w:cs="Arial"/>
          <w:sz w:val="20"/>
          <w:szCs w:val="20"/>
          <w:lang w:val="en-GB"/>
        </w:rPr>
        <w:t xml:space="preserve">In addition, the Coordinated Referral Mechanism model, which was positively evaluated by </w:t>
      </w:r>
      <w:r w:rsidR="00625196" w:rsidRPr="009B39EC">
        <w:rPr>
          <w:rFonts w:ascii="Arial" w:hAnsi="Arial" w:cs="Arial"/>
          <w:sz w:val="20"/>
          <w:szCs w:val="20"/>
          <w:lang w:val="en-GB"/>
        </w:rPr>
        <w:t xml:space="preserve">GREVIO, </w:t>
      </w:r>
      <w:r w:rsidR="004C3F9B" w:rsidRPr="009B39EC">
        <w:rPr>
          <w:rFonts w:ascii="Arial" w:hAnsi="Arial" w:cs="Arial"/>
          <w:sz w:val="20"/>
          <w:szCs w:val="20"/>
          <w:lang w:val="en-GB"/>
        </w:rPr>
        <w:t xml:space="preserve">is now established in all </w:t>
      </w:r>
      <w:r w:rsidR="00625196" w:rsidRPr="009B39EC">
        <w:rPr>
          <w:rFonts w:ascii="Arial" w:hAnsi="Arial" w:cs="Arial"/>
          <w:sz w:val="20"/>
          <w:szCs w:val="20"/>
          <w:lang w:val="en-GB"/>
        </w:rPr>
        <w:t xml:space="preserve">61 </w:t>
      </w:r>
      <w:r w:rsidR="004C3F9B" w:rsidRPr="009B39EC">
        <w:rPr>
          <w:rFonts w:ascii="Arial" w:hAnsi="Arial" w:cs="Arial"/>
          <w:sz w:val="20"/>
          <w:szCs w:val="20"/>
          <w:lang w:val="en-GB"/>
        </w:rPr>
        <w:t xml:space="preserve">municipalities in the country and work is being done to strengthen this mechanism, including by offering </w:t>
      </w:r>
      <w:r w:rsidR="00C91B33" w:rsidRPr="009B39EC">
        <w:rPr>
          <w:rFonts w:ascii="Arial" w:hAnsi="Arial" w:cs="Arial"/>
          <w:sz w:val="20"/>
          <w:szCs w:val="20"/>
          <w:lang w:val="en-GB"/>
        </w:rPr>
        <w:t>accredited</w:t>
      </w:r>
      <w:r w:rsidR="004C3F9B" w:rsidRPr="009B39EC">
        <w:rPr>
          <w:rFonts w:ascii="Arial" w:hAnsi="Arial" w:cs="Arial"/>
          <w:sz w:val="20"/>
          <w:szCs w:val="20"/>
          <w:lang w:val="en-GB"/>
        </w:rPr>
        <w:t xml:space="preserve"> training courses to </w:t>
      </w:r>
      <w:proofErr w:type="gramStart"/>
      <w:r w:rsidR="004C3F9B" w:rsidRPr="009B39EC">
        <w:rPr>
          <w:rFonts w:ascii="Arial" w:hAnsi="Arial" w:cs="Arial"/>
          <w:sz w:val="20"/>
          <w:szCs w:val="20"/>
          <w:lang w:val="en-GB"/>
        </w:rPr>
        <w:t>professionals</w:t>
      </w:r>
      <w:proofErr w:type="gramEnd"/>
      <w:r w:rsidR="004C3F9B" w:rsidRPr="009B39EC">
        <w:rPr>
          <w:rFonts w:ascii="Arial" w:hAnsi="Arial" w:cs="Arial"/>
          <w:sz w:val="20"/>
          <w:szCs w:val="20"/>
          <w:lang w:val="en-GB"/>
        </w:rPr>
        <w:t xml:space="preserve"> members of this mechanism</w:t>
      </w:r>
      <w:r w:rsidR="00B76C9A" w:rsidRPr="009B39EC">
        <w:rPr>
          <w:rFonts w:ascii="Arial" w:hAnsi="Arial" w:cs="Arial"/>
          <w:sz w:val="20"/>
          <w:szCs w:val="20"/>
          <w:lang w:val="en-GB"/>
        </w:rPr>
        <w:t>. This also</w:t>
      </w:r>
      <w:r w:rsidR="004C3F9B" w:rsidRPr="009B39EC">
        <w:rPr>
          <w:rFonts w:ascii="Arial" w:hAnsi="Arial" w:cs="Arial"/>
          <w:sz w:val="20"/>
          <w:szCs w:val="20"/>
          <w:lang w:val="en-GB"/>
        </w:rPr>
        <w:t xml:space="preserve"> addresses </w:t>
      </w:r>
      <w:r w:rsidR="00924683" w:rsidRPr="009B39EC">
        <w:rPr>
          <w:rFonts w:ascii="Arial" w:hAnsi="Arial" w:cs="Arial"/>
          <w:b/>
          <w:bCs/>
          <w:sz w:val="20"/>
          <w:szCs w:val="20"/>
          <w:lang w:val="en-GB"/>
        </w:rPr>
        <w:t>urgent recommendation</w:t>
      </w:r>
      <w:r w:rsidR="004C3F9B" w:rsidRPr="009B39EC">
        <w:rPr>
          <w:rFonts w:ascii="Arial" w:hAnsi="Arial" w:cs="Arial"/>
          <w:b/>
          <w:bCs/>
          <w:sz w:val="20"/>
          <w:szCs w:val="20"/>
          <w:lang w:val="en-GB"/>
        </w:rPr>
        <w:t xml:space="preserve">s </w:t>
      </w:r>
      <w:r w:rsidR="00625196" w:rsidRPr="009B39EC">
        <w:rPr>
          <w:rFonts w:ascii="Arial" w:hAnsi="Arial" w:cs="Arial"/>
          <w:b/>
          <w:bCs/>
          <w:sz w:val="20"/>
          <w:szCs w:val="20"/>
          <w:lang w:val="en-GB"/>
        </w:rPr>
        <w:t xml:space="preserve">10 </w:t>
      </w:r>
      <w:r w:rsidR="004C3F9B" w:rsidRPr="009B39EC">
        <w:rPr>
          <w:rFonts w:ascii="Arial" w:hAnsi="Arial" w:cs="Arial"/>
          <w:b/>
          <w:bCs/>
          <w:sz w:val="20"/>
          <w:szCs w:val="20"/>
          <w:lang w:val="en-GB"/>
        </w:rPr>
        <w:t xml:space="preserve">and </w:t>
      </w:r>
      <w:r w:rsidR="00625196" w:rsidRPr="009B39EC">
        <w:rPr>
          <w:rFonts w:ascii="Arial" w:hAnsi="Arial" w:cs="Arial"/>
          <w:b/>
          <w:bCs/>
          <w:sz w:val="20"/>
          <w:szCs w:val="20"/>
          <w:lang w:val="en-GB"/>
        </w:rPr>
        <w:t>13</w:t>
      </w:r>
      <w:r w:rsidR="00625196" w:rsidRPr="009B39EC">
        <w:rPr>
          <w:rFonts w:ascii="Arial" w:hAnsi="Arial" w:cs="Arial"/>
          <w:sz w:val="20"/>
          <w:szCs w:val="20"/>
          <w:lang w:val="en-GB"/>
        </w:rPr>
        <w:t xml:space="preserve">. </w:t>
      </w:r>
    </w:p>
    <w:p w14:paraId="55B285C8" w14:textId="2BD5DBDF" w:rsidR="00625196" w:rsidRPr="009B39EC" w:rsidRDefault="00B76C9A" w:rsidP="002003E9">
      <w:pPr>
        <w:jc w:val="both"/>
        <w:rPr>
          <w:rFonts w:ascii="Arial" w:hAnsi="Arial" w:cs="Arial"/>
          <w:sz w:val="20"/>
          <w:szCs w:val="20"/>
          <w:lang w:val="en-GB"/>
        </w:rPr>
      </w:pPr>
      <w:r w:rsidRPr="009B39EC">
        <w:rPr>
          <w:rFonts w:ascii="Arial" w:hAnsi="Arial" w:cs="Arial"/>
          <w:sz w:val="20"/>
          <w:szCs w:val="20"/>
          <w:lang w:val="en-GB"/>
        </w:rPr>
        <w:t xml:space="preserve">Similarly, progress has been made in </w:t>
      </w:r>
      <w:r w:rsidR="004C3F9B" w:rsidRPr="009B39EC">
        <w:rPr>
          <w:rFonts w:ascii="Arial" w:hAnsi="Arial" w:cs="Arial"/>
          <w:sz w:val="20"/>
          <w:szCs w:val="20"/>
          <w:lang w:val="en-GB"/>
        </w:rPr>
        <w:t xml:space="preserve">respect of </w:t>
      </w:r>
      <w:r w:rsidR="00924683"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 xml:space="preserve">recommendation </w:t>
      </w:r>
      <w:r w:rsidR="00625196" w:rsidRPr="009B39EC">
        <w:rPr>
          <w:rFonts w:ascii="Arial" w:hAnsi="Arial" w:cs="Arial"/>
          <w:b/>
          <w:bCs/>
          <w:sz w:val="20"/>
          <w:szCs w:val="20"/>
          <w:lang w:val="en-GB"/>
        </w:rPr>
        <w:t>19</w:t>
      </w:r>
      <w:r w:rsidR="00625196" w:rsidRPr="009B39EC">
        <w:rPr>
          <w:rFonts w:ascii="Arial" w:hAnsi="Arial" w:cs="Arial"/>
          <w:sz w:val="20"/>
          <w:szCs w:val="20"/>
          <w:lang w:val="en-GB"/>
        </w:rPr>
        <w:t>,</w:t>
      </w:r>
      <w:r w:rsidRPr="009B39EC">
        <w:rPr>
          <w:rFonts w:ascii="Arial" w:hAnsi="Arial" w:cs="Arial"/>
          <w:sz w:val="20"/>
          <w:szCs w:val="20"/>
          <w:lang w:val="en-GB"/>
        </w:rPr>
        <w:t xml:space="preserve"> </w:t>
      </w:r>
      <w:r w:rsidR="00CF100C" w:rsidRPr="009B39EC">
        <w:rPr>
          <w:rFonts w:ascii="Arial" w:hAnsi="Arial" w:cs="Arial"/>
          <w:sz w:val="20"/>
          <w:szCs w:val="20"/>
          <w:lang w:val="en-GB"/>
        </w:rPr>
        <w:t>in the form of</w:t>
      </w:r>
      <w:r w:rsidRPr="009B39EC">
        <w:rPr>
          <w:rFonts w:ascii="Arial" w:hAnsi="Arial" w:cs="Arial"/>
          <w:sz w:val="20"/>
          <w:szCs w:val="20"/>
          <w:lang w:val="en-GB"/>
        </w:rPr>
        <w:t xml:space="preserve"> improvements to </w:t>
      </w:r>
      <w:r w:rsidR="00CF100C" w:rsidRPr="009B39EC">
        <w:rPr>
          <w:rFonts w:ascii="Arial" w:hAnsi="Arial" w:cs="Arial"/>
          <w:sz w:val="20"/>
          <w:szCs w:val="20"/>
          <w:lang w:val="en-GB"/>
        </w:rPr>
        <w:t xml:space="preserve">the </w:t>
      </w:r>
      <w:r w:rsidR="00337D70" w:rsidRPr="009B39EC">
        <w:rPr>
          <w:rFonts w:ascii="Arial" w:hAnsi="Arial" w:cs="Arial"/>
          <w:sz w:val="20"/>
          <w:szCs w:val="20"/>
          <w:lang w:val="en-GB"/>
        </w:rPr>
        <w:t xml:space="preserve">free legal aid </w:t>
      </w:r>
      <w:r w:rsidRPr="009B39EC">
        <w:rPr>
          <w:rFonts w:ascii="Arial" w:hAnsi="Arial" w:cs="Arial"/>
          <w:sz w:val="20"/>
          <w:szCs w:val="20"/>
          <w:lang w:val="en-GB"/>
        </w:rPr>
        <w:t>system</w:t>
      </w:r>
      <w:r w:rsidR="00CF100C" w:rsidRPr="009B39EC">
        <w:rPr>
          <w:rFonts w:ascii="Arial" w:hAnsi="Arial" w:cs="Arial"/>
          <w:sz w:val="20"/>
          <w:szCs w:val="20"/>
          <w:lang w:val="en-GB"/>
        </w:rPr>
        <w:t xml:space="preserve"> with a view to ensuring</w:t>
      </w:r>
      <w:r w:rsidRPr="009B39EC">
        <w:rPr>
          <w:rFonts w:ascii="Arial" w:hAnsi="Arial" w:cs="Arial"/>
          <w:sz w:val="20"/>
          <w:szCs w:val="20"/>
          <w:lang w:val="en-GB"/>
        </w:rPr>
        <w:t xml:space="preserve"> </w:t>
      </w:r>
      <w:r w:rsidR="00CF100C" w:rsidRPr="009B39EC">
        <w:rPr>
          <w:rFonts w:ascii="Arial" w:hAnsi="Arial" w:cs="Arial"/>
          <w:sz w:val="20"/>
          <w:szCs w:val="20"/>
          <w:lang w:val="en-GB"/>
        </w:rPr>
        <w:t xml:space="preserve">better </w:t>
      </w:r>
      <w:r w:rsidR="00337D70" w:rsidRPr="009B39EC">
        <w:rPr>
          <w:rFonts w:ascii="Arial" w:hAnsi="Arial" w:cs="Arial"/>
          <w:sz w:val="20"/>
          <w:szCs w:val="20"/>
          <w:lang w:val="en-GB"/>
        </w:rPr>
        <w:t xml:space="preserve">protection from all forms of violence against </w:t>
      </w:r>
      <w:r w:rsidR="00C91B33" w:rsidRPr="009B39EC">
        <w:rPr>
          <w:rFonts w:ascii="Arial" w:hAnsi="Arial" w:cs="Arial"/>
          <w:sz w:val="20"/>
          <w:szCs w:val="20"/>
          <w:lang w:val="en-GB"/>
        </w:rPr>
        <w:t>women</w:t>
      </w:r>
      <w:r w:rsidR="00337D70" w:rsidRPr="009B39EC">
        <w:rPr>
          <w:rFonts w:ascii="Arial" w:hAnsi="Arial" w:cs="Arial"/>
          <w:sz w:val="20"/>
          <w:szCs w:val="20"/>
          <w:lang w:val="en-GB"/>
        </w:rPr>
        <w:t xml:space="preserve">. The adoption of the </w:t>
      </w:r>
      <w:r w:rsidR="00CF100C" w:rsidRPr="009B39EC">
        <w:rPr>
          <w:rFonts w:ascii="Arial" w:hAnsi="Arial" w:cs="Arial"/>
          <w:sz w:val="20"/>
          <w:szCs w:val="20"/>
          <w:lang w:val="en-GB"/>
        </w:rPr>
        <w:t>L</w:t>
      </w:r>
      <w:r w:rsidR="00337D70" w:rsidRPr="009B39EC">
        <w:rPr>
          <w:rFonts w:ascii="Arial" w:hAnsi="Arial" w:cs="Arial"/>
          <w:sz w:val="20"/>
          <w:szCs w:val="20"/>
          <w:lang w:val="en-GB"/>
        </w:rPr>
        <w:t xml:space="preserve">aw </w:t>
      </w:r>
      <w:r w:rsidR="00CF100C" w:rsidRPr="009B39EC">
        <w:rPr>
          <w:rFonts w:ascii="Arial" w:hAnsi="Arial" w:cs="Arial"/>
          <w:sz w:val="20"/>
          <w:szCs w:val="20"/>
          <w:lang w:val="en-GB"/>
        </w:rPr>
        <w:t>“O</w:t>
      </w:r>
      <w:r w:rsidR="00337D70" w:rsidRPr="009B39EC">
        <w:rPr>
          <w:rFonts w:ascii="Arial" w:hAnsi="Arial" w:cs="Arial"/>
          <w:sz w:val="20"/>
          <w:szCs w:val="20"/>
          <w:lang w:val="en-GB"/>
        </w:rPr>
        <w:t>n free legal aid provided by the state</w:t>
      </w:r>
      <w:r w:rsidR="00CF100C" w:rsidRPr="009B39EC">
        <w:rPr>
          <w:rFonts w:ascii="Arial" w:hAnsi="Arial" w:cs="Arial"/>
          <w:sz w:val="20"/>
          <w:szCs w:val="20"/>
          <w:lang w:val="en-GB"/>
        </w:rPr>
        <w:t>”</w:t>
      </w:r>
      <w:r w:rsidR="00337D70" w:rsidRPr="009B39EC">
        <w:rPr>
          <w:rFonts w:ascii="Arial" w:hAnsi="Arial" w:cs="Arial"/>
          <w:sz w:val="20"/>
          <w:szCs w:val="20"/>
          <w:lang w:val="en-GB"/>
        </w:rPr>
        <w:t xml:space="preserve"> in 2017 and its entry into force in </w:t>
      </w:r>
      <w:r w:rsidR="00625196" w:rsidRPr="009B39EC">
        <w:rPr>
          <w:rFonts w:ascii="Arial" w:hAnsi="Arial" w:cs="Arial"/>
          <w:sz w:val="20"/>
          <w:szCs w:val="20"/>
          <w:lang w:val="en-GB"/>
        </w:rPr>
        <w:t xml:space="preserve">2018, </w:t>
      </w:r>
      <w:r w:rsidR="00337D70" w:rsidRPr="009B39EC">
        <w:rPr>
          <w:rFonts w:ascii="Arial" w:hAnsi="Arial" w:cs="Arial"/>
          <w:sz w:val="20"/>
          <w:szCs w:val="20"/>
          <w:lang w:val="en-GB"/>
        </w:rPr>
        <w:t>a</w:t>
      </w:r>
      <w:r w:rsidR="00CF100C" w:rsidRPr="009B39EC">
        <w:rPr>
          <w:rFonts w:ascii="Arial" w:hAnsi="Arial" w:cs="Arial"/>
          <w:sz w:val="20"/>
          <w:szCs w:val="20"/>
          <w:lang w:val="en-GB"/>
        </w:rPr>
        <w:t xml:space="preserve">s well as </w:t>
      </w:r>
      <w:r w:rsidR="00337D70" w:rsidRPr="009B39EC">
        <w:rPr>
          <w:rFonts w:ascii="Arial" w:hAnsi="Arial" w:cs="Arial"/>
          <w:sz w:val="20"/>
          <w:szCs w:val="20"/>
          <w:lang w:val="en-GB"/>
        </w:rPr>
        <w:t xml:space="preserve">the opening of several legal clinics </w:t>
      </w:r>
      <w:r w:rsidR="00CF100C" w:rsidRPr="009B39EC">
        <w:rPr>
          <w:rFonts w:ascii="Arial" w:hAnsi="Arial" w:cs="Arial"/>
          <w:sz w:val="20"/>
          <w:szCs w:val="20"/>
          <w:lang w:val="en-GB"/>
        </w:rPr>
        <w:t xml:space="preserve">free of charge, </w:t>
      </w:r>
      <w:r w:rsidR="00337D70" w:rsidRPr="009B39EC">
        <w:rPr>
          <w:rFonts w:ascii="Arial" w:hAnsi="Arial" w:cs="Arial"/>
          <w:sz w:val="20"/>
          <w:szCs w:val="20"/>
          <w:lang w:val="en-GB"/>
        </w:rPr>
        <w:t xml:space="preserve">are important first steps for the implementation of this </w:t>
      </w:r>
      <w:r w:rsidR="00924683" w:rsidRPr="009B39EC">
        <w:rPr>
          <w:rFonts w:ascii="Arial" w:hAnsi="Arial" w:cs="Arial"/>
          <w:sz w:val="20"/>
          <w:szCs w:val="20"/>
          <w:lang w:val="en-GB"/>
        </w:rPr>
        <w:t>urgent recommendation</w:t>
      </w:r>
      <w:r w:rsidR="00625196" w:rsidRPr="009B39EC">
        <w:rPr>
          <w:rFonts w:ascii="Arial" w:hAnsi="Arial" w:cs="Arial"/>
          <w:sz w:val="20"/>
          <w:szCs w:val="20"/>
          <w:lang w:val="en-GB"/>
        </w:rPr>
        <w:t xml:space="preserve">. </w:t>
      </w:r>
    </w:p>
    <w:p w14:paraId="3F17026A" w14:textId="5B107AF8" w:rsidR="00491D1F" w:rsidRPr="009B39EC" w:rsidRDefault="00321FDD" w:rsidP="004E1005">
      <w:pPr>
        <w:jc w:val="both"/>
        <w:rPr>
          <w:rFonts w:ascii="Arial" w:hAnsi="Arial" w:cs="Arial"/>
          <w:sz w:val="20"/>
          <w:szCs w:val="20"/>
          <w:lang w:val="en-GB"/>
        </w:rPr>
      </w:pPr>
      <w:r w:rsidRPr="009B39EC">
        <w:rPr>
          <w:rFonts w:ascii="Arial" w:hAnsi="Arial" w:cs="Arial"/>
          <w:sz w:val="20"/>
          <w:szCs w:val="20"/>
          <w:lang w:val="en-GB"/>
        </w:rPr>
        <w:t xml:space="preserve">The Ministry of Justice is </w:t>
      </w:r>
      <w:r w:rsidR="00CF100C" w:rsidRPr="009B39EC">
        <w:rPr>
          <w:rFonts w:ascii="Arial" w:hAnsi="Arial" w:cs="Arial"/>
          <w:sz w:val="20"/>
          <w:szCs w:val="20"/>
          <w:lang w:val="en-GB"/>
        </w:rPr>
        <w:t xml:space="preserve">presently </w:t>
      </w:r>
      <w:r w:rsidRPr="009B39EC">
        <w:rPr>
          <w:rFonts w:ascii="Arial" w:hAnsi="Arial" w:cs="Arial"/>
          <w:sz w:val="20"/>
          <w:szCs w:val="20"/>
          <w:lang w:val="en-GB"/>
        </w:rPr>
        <w:t xml:space="preserve">working to fully address </w:t>
      </w:r>
      <w:r w:rsidR="00924683" w:rsidRPr="009B39EC">
        <w:rPr>
          <w:rFonts w:ascii="Arial" w:hAnsi="Arial" w:cs="Arial"/>
          <w:b/>
          <w:bCs/>
          <w:sz w:val="20"/>
          <w:szCs w:val="20"/>
          <w:lang w:val="en-GB"/>
        </w:rPr>
        <w:t xml:space="preserve">urgent </w:t>
      </w:r>
      <w:r w:rsidR="00A11D76" w:rsidRPr="009B39EC">
        <w:rPr>
          <w:rFonts w:ascii="Arial" w:hAnsi="Arial" w:cs="Arial"/>
          <w:b/>
          <w:bCs/>
          <w:sz w:val="20"/>
          <w:szCs w:val="20"/>
          <w:lang w:val="en-GB"/>
        </w:rPr>
        <w:t>recommendation</w:t>
      </w:r>
      <w:r w:rsidR="00CF100C" w:rsidRPr="009B39EC">
        <w:rPr>
          <w:rFonts w:ascii="Arial" w:hAnsi="Arial" w:cs="Arial"/>
          <w:b/>
          <w:bCs/>
          <w:sz w:val="20"/>
          <w:szCs w:val="20"/>
          <w:lang w:val="en-GB"/>
        </w:rPr>
        <w:t xml:space="preserve"> </w:t>
      </w:r>
      <w:r w:rsidR="00625196" w:rsidRPr="009B39EC">
        <w:rPr>
          <w:rFonts w:ascii="Arial" w:hAnsi="Arial" w:cs="Arial"/>
          <w:b/>
          <w:bCs/>
          <w:sz w:val="20"/>
          <w:szCs w:val="20"/>
          <w:lang w:val="en-GB"/>
        </w:rPr>
        <w:t>12</w:t>
      </w:r>
      <w:r w:rsidR="00625196" w:rsidRPr="009B39EC">
        <w:rPr>
          <w:rFonts w:ascii="Arial" w:hAnsi="Arial" w:cs="Arial"/>
          <w:sz w:val="20"/>
          <w:szCs w:val="20"/>
          <w:lang w:val="en-GB"/>
        </w:rPr>
        <w:t xml:space="preserve">, </w:t>
      </w:r>
      <w:r w:rsidR="00CF100C" w:rsidRPr="009B39EC">
        <w:rPr>
          <w:rFonts w:ascii="Arial" w:hAnsi="Arial" w:cs="Arial"/>
          <w:sz w:val="20"/>
          <w:szCs w:val="20"/>
          <w:lang w:val="en-GB"/>
        </w:rPr>
        <w:t xml:space="preserve">regarding </w:t>
      </w:r>
      <w:r w:rsidRPr="009B39EC">
        <w:rPr>
          <w:rFonts w:ascii="Arial" w:hAnsi="Arial" w:cs="Arial"/>
          <w:sz w:val="20"/>
          <w:szCs w:val="20"/>
          <w:lang w:val="en-GB"/>
        </w:rPr>
        <w:t>changing the</w:t>
      </w:r>
      <w:r w:rsidR="00CF100C" w:rsidRPr="009B39EC">
        <w:rPr>
          <w:rFonts w:ascii="Arial" w:hAnsi="Arial" w:cs="Arial"/>
          <w:sz w:val="20"/>
          <w:szCs w:val="20"/>
          <w:lang w:val="en-GB"/>
        </w:rPr>
        <w:t xml:space="preserve"> legal</w:t>
      </w:r>
      <w:r w:rsidRPr="009B39EC">
        <w:rPr>
          <w:rFonts w:ascii="Arial" w:hAnsi="Arial" w:cs="Arial"/>
          <w:sz w:val="20"/>
          <w:szCs w:val="20"/>
          <w:lang w:val="en-GB"/>
        </w:rPr>
        <w:t xml:space="preserve"> definition of rape in the case of children 14 to 18 years of age</w:t>
      </w:r>
      <w:r w:rsidR="004E1005" w:rsidRPr="009B39EC">
        <w:rPr>
          <w:rFonts w:ascii="Arial" w:hAnsi="Arial" w:cs="Arial"/>
          <w:sz w:val="20"/>
          <w:szCs w:val="20"/>
          <w:lang w:val="en-GB"/>
        </w:rPr>
        <w:t>.</w:t>
      </w:r>
    </w:p>
    <w:p w14:paraId="75F9EBF8" w14:textId="77777777" w:rsidR="00A1763E" w:rsidRPr="009B39EC" w:rsidRDefault="00A1763E">
      <w:pPr>
        <w:rPr>
          <w:rFonts w:ascii="Arial" w:hAnsi="Arial" w:cs="Arial"/>
          <w:sz w:val="20"/>
          <w:szCs w:val="20"/>
          <w:lang w:val="en-GB"/>
        </w:rPr>
      </w:pPr>
    </w:p>
    <w:p w14:paraId="1DCE0312" w14:textId="62085482" w:rsidR="00E50B1D" w:rsidRPr="009B39EC" w:rsidRDefault="002752F6" w:rsidP="00D575F2">
      <w:pPr>
        <w:pStyle w:val="Heading2"/>
        <w:spacing w:before="0" w:after="0"/>
        <w:rPr>
          <w:rFonts w:ascii="Arial" w:hAnsi="Arial" w:cs="Arial"/>
          <w:i w:val="0"/>
          <w:iCs w:val="0"/>
          <w:color w:val="4472C4" w:themeColor="accent1"/>
          <w:sz w:val="20"/>
          <w:szCs w:val="20"/>
          <w:lang w:val="en-GB"/>
        </w:rPr>
      </w:pPr>
      <w:bookmarkStart w:id="5" w:name="_Toc75851659"/>
      <w:r w:rsidRPr="009B39EC">
        <w:rPr>
          <w:rFonts w:ascii="Arial" w:hAnsi="Arial" w:cs="Arial"/>
          <w:i w:val="0"/>
          <w:iCs w:val="0"/>
          <w:color w:val="4472C4" w:themeColor="accent1"/>
          <w:sz w:val="20"/>
          <w:szCs w:val="20"/>
          <w:lang w:val="en-GB"/>
        </w:rPr>
        <w:t>ANNEX</w:t>
      </w:r>
      <w:r w:rsidR="00E50B1D" w:rsidRPr="009B39EC">
        <w:rPr>
          <w:rFonts w:ascii="Arial" w:hAnsi="Arial" w:cs="Arial"/>
          <w:i w:val="0"/>
          <w:iCs w:val="0"/>
          <w:color w:val="4472C4" w:themeColor="accent1"/>
          <w:sz w:val="20"/>
          <w:szCs w:val="20"/>
          <w:lang w:val="en-GB"/>
        </w:rPr>
        <w:t xml:space="preserve"> 2. </w:t>
      </w:r>
      <w:r w:rsidR="00A1763E" w:rsidRPr="009B39EC">
        <w:rPr>
          <w:rFonts w:ascii="Arial" w:hAnsi="Arial" w:cs="Arial"/>
          <w:i w:val="0"/>
          <w:iCs w:val="0"/>
          <w:color w:val="4472C4" w:themeColor="accent1"/>
          <w:sz w:val="20"/>
          <w:szCs w:val="20"/>
          <w:lang w:val="en-GB"/>
        </w:rPr>
        <w:t>F</w:t>
      </w:r>
      <w:r w:rsidR="0098080C" w:rsidRPr="009B39EC">
        <w:rPr>
          <w:rFonts w:ascii="Arial" w:hAnsi="Arial" w:cs="Arial"/>
          <w:i w:val="0"/>
          <w:iCs w:val="0"/>
          <w:color w:val="4472C4" w:themeColor="accent1"/>
          <w:sz w:val="20"/>
          <w:szCs w:val="20"/>
          <w:lang w:val="en-GB"/>
        </w:rPr>
        <w:t xml:space="preserve">INDINGS FROM THE IMPLEMENTATION OF </w:t>
      </w:r>
      <w:r w:rsidR="00A1763E" w:rsidRPr="009B39EC">
        <w:rPr>
          <w:rFonts w:ascii="Arial" w:hAnsi="Arial" w:cs="Arial"/>
          <w:i w:val="0"/>
          <w:iCs w:val="0"/>
          <w:color w:val="4472C4" w:themeColor="accent1"/>
          <w:sz w:val="20"/>
          <w:szCs w:val="20"/>
          <w:lang w:val="en-GB"/>
        </w:rPr>
        <w:t xml:space="preserve">STRATEGIC GOALS 3 AND 4 OF </w:t>
      </w:r>
      <w:r w:rsidR="00924683" w:rsidRPr="009B39EC">
        <w:rPr>
          <w:rFonts w:ascii="Arial" w:hAnsi="Arial" w:cs="Arial"/>
          <w:i w:val="0"/>
          <w:iCs w:val="0"/>
          <w:color w:val="4472C4" w:themeColor="accent1"/>
          <w:sz w:val="20"/>
          <w:szCs w:val="20"/>
          <w:lang w:val="en-GB"/>
        </w:rPr>
        <w:t xml:space="preserve">THE 2016-2020 </w:t>
      </w:r>
      <w:r w:rsidR="002153C9" w:rsidRPr="009B39EC">
        <w:rPr>
          <w:rFonts w:ascii="Arial" w:hAnsi="Arial" w:cs="Arial"/>
          <w:i w:val="0"/>
          <w:iCs w:val="0"/>
          <w:color w:val="4472C4" w:themeColor="accent1"/>
          <w:sz w:val="20"/>
          <w:szCs w:val="20"/>
          <w:lang w:val="en-GB"/>
        </w:rPr>
        <w:t>NSGE</w:t>
      </w:r>
      <w:bookmarkEnd w:id="5"/>
      <w:r w:rsidR="002153C9" w:rsidRPr="009B39EC">
        <w:rPr>
          <w:rFonts w:ascii="Arial" w:hAnsi="Arial" w:cs="Arial"/>
          <w:i w:val="0"/>
          <w:iCs w:val="0"/>
          <w:color w:val="4472C4" w:themeColor="accent1"/>
          <w:sz w:val="20"/>
          <w:szCs w:val="20"/>
          <w:lang w:val="en-GB"/>
        </w:rPr>
        <w:t xml:space="preserve"> </w:t>
      </w:r>
    </w:p>
    <w:p w14:paraId="2F3E3925" w14:textId="77777777" w:rsidR="00924683" w:rsidRPr="009B39EC" w:rsidRDefault="00924683" w:rsidP="00E50B1D">
      <w:pPr>
        <w:widowControl w:val="0"/>
        <w:autoSpaceDE w:val="0"/>
        <w:autoSpaceDN w:val="0"/>
        <w:adjustRightInd w:val="0"/>
        <w:spacing w:after="0" w:line="240" w:lineRule="auto"/>
        <w:jc w:val="both"/>
        <w:rPr>
          <w:rFonts w:ascii="Arial" w:hAnsi="Arial" w:cs="Arial"/>
          <w:bCs/>
          <w:iCs/>
          <w:sz w:val="20"/>
          <w:szCs w:val="20"/>
          <w:lang w:val="en-GB"/>
        </w:rPr>
      </w:pPr>
    </w:p>
    <w:p w14:paraId="0358991E" w14:textId="7771D850" w:rsidR="00E50B1D" w:rsidRPr="009B39EC" w:rsidRDefault="002153C9" w:rsidP="00E50B1D">
      <w:pPr>
        <w:widowControl w:val="0"/>
        <w:autoSpaceDE w:val="0"/>
        <w:autoSpaceDN w:val="0"/>
        <w:adjustRightInd w:val="0"/>
        <w:spacing w:after="0" w:line="240" w:lineRule="auto"/>
        <w:jc w:val="both"/>
        <w:rPr>
          <w:rFonts w:ascii="Arial" w:hAnsi="Arial" w:cs="Arial"/>
          <w:bCs/>
          <w:iCs/>
          <w:sz w:val="20"/>
          <w:szCs w:val="20"/>
          <w:lang w:val="en-GB"/>
        </w:rPr>
      </w:pPr>
      <w:r w:rsidRPr="009B39EC">
        <w:rPr>
          <w:rFonts w:ascii="Arial" w:hAnsi="Arial" w:cs="Arial"/>
          <w:bCs/>
          <w:iCs/>
          <w:sz w:val="20"/>
          <w:szCs w:val="20"/>
          <w:lang w:val="en-GB"/>
        </w:rPr>
        <w:t xml:space="preserve">The following table presents a summary of the findings from the evaluation of </w:t>
      </w:r>
      <w:r w:rsidR="00CF100C" w:rsidRPr="009B39EC">
        <w:rPr>
          <w:rFonts w:ascii="Arial" w:hAnsi="Arial" w:cs="Arial"/>
          <w:bCs/>
          <w:iCs/>
          <w:sz w:val="20"/>
          <w:szCs w:val="20"/>
          <w:lang w:val="en-GB"/>
        </w:rPr>
        <w:t>S</w:t>
      </w:r>
      <w:r w:rsidRPr="009B39EC">
        <w:rPr>
          <w:rFonts w:ascii="Arial" w:hAnsi="Arial" w:cs="Arial"/>
          <w:bCs/>
          <w:iCs/>
          <w:sz w:val="20"/>
          <w:szCs w:val="20"/>
          <w:lang w:val="en-GB"/>
        </w:rPr>
        <w:t xml:space="preserve">trategic </w:t>
      </w:r>
      <w:r w:rsidR="00CF100C" w:rsidRPr="009B39EC">
        <w:rPr>
          <w:rFonts w:ascii="Arial" w:hAnsi="Arial" w:cs="Arial"/>
          <w:bCs/>
          <w:iCs/>
          <w:sz w:val="20"/>
          <w:szCs w:val="20"/>
          <w:lang w:val="en-GB"/>
        </w:rPr>
        <w:t>G</w:t>
      </w:r>
      <w:r w:rsidRPr="009B39EC">
        <w:rPr>
          <w:rFonts w:ascii="Arial" w:hAnsi="Arial" w:cs="Arial"/>
          <w:bCs/>
          <w:iCs/>
          <w:sz w:val="20"/>
          <w:szCs w:val="20"/>
          <w:lang w:val="en-GB"/>
        </w:rPr>
        <w:t xml:space="preserve">oals 3 and 4 </w:t>
      </w:r>
      <w:r w:rsidR="00CF100C" w:rsidRPr="009B39EC">
        <w:rPr>
          <w:rFonts w:ascii="Arial" w:hAnsi="Arial" w:cs="Arial"/>
          <w:bCs/>
          <w:iCs/>
          <w:sz w:val="20"/>
          <w:szCs w:val="20"/>
          <w:lang w:val="en-GB"/>
        </w:rPr>
        <w:t xml:space="preserve">of the </w:t>
      </w:r>
      <w:r w:rsidR="00E50B1D" w:rsidRPr="009B39EC">
        <w:rPr>
          <w:rFonts w:ascii="Arial" w:hAnsi="Arial" w:cs="Arial"/>
          <w:bCs/>
          <w:iCs/>
          <w:sz w:val="20"/>
          <w:szCs w:val="20"/>
          <w:lang w:val="en-GB"/>
        </w:rPr>
        <w:t>2016-2020</w:t>
      </w:r>
      <w:r w:rsidR="00CF100C" w:rsidRPr="009B39EC">
        <w:rPr>
          <w:rFonts w:ascii="Arial" w:hAnsi="Arial" w:cs="Arial"/>
          <w:bCs/>
          <w:iCs/>
          <w:sz w:val="20"/>
          <w:szCs w:val="20"/>
          <w:lang w:val="en-GB"/>
        </w:rPr>
        <w:t xml:space="preserve"> NSGE</w:t>
      </w:r>
      <w:r w:rsidR="00D575F2" w:rsidRPr="009B39EC">
        <w:rPr>
          <w:rFonts w:ascii="Arial" w:hAnsi="Arial" w:cs="Arial"/>
          <w:bCs/>
          <w:iCs/>
          <w:sz w:val="20"/>
          <w:szCs w:val="20"/>
          <w:lang w:val="en-GB"/>
        </w:rPr>
        <w:t xml:space="preserve">. </w:t>
      </w:r>
      <w:r w:rsidRPr="009B39EC">
        <w:rPr>
          <w:rFonts w:ascii="Arial" w:hAnsi="Arial" w:cs="Arial"/>
          <w:bCs/>
          <w:iCs/>
          <w:sz w:val="20"/>
          <w:szCs w:val="20"/>
          <w:lang w:val="en-GB"/>
        </w:rPr>
        <w:t>Please note that</w:t>
      </w:r>
      <w:r w:rsidR="00CF100C" w:rsidRPr="009B39EC">
        <w:rPr>
          <w:rFonts w:ascii="Arial" w:hAnsi="Arial" w:cs="Arial"/>
          <w:bCs/>
          <w:iCs/>
          <w:sz w:val="20"/>
          <w:szCs w:val="20"/>
          <w:lang w:val="en-GB"/>
        </w:rPr>
        <w:t xml:space="preserve"> the</w:t>
      </w:r>
      <w:r w:rsidRPr="009B39EC">
        <w:rPr>
          <w:rFonts w:ascii="Arial" w:hAnsi="Arial" w:cs="Arial"/>
          <w:bCs/>
          <w:iCs/>
          <w:sz w:val="20"/>
          <w:szCs w:val="20"/>
          <w:lang w:val="en-GB"/>
        </w:rPr>
        <w:t xml:space="preserve"> </w:t>
      </w:r>
      <w:r w:rsidR="006F1EFA" w:rsidRPr="009B39EC">
        <w:rPr>
          <w:rFonts w:ascii="Arial" w:hAnsi="Arial" w:cs="Arial"/>
          <w:bCs/>
          <w:iCs/>
          <w:sz w:val="20"/>
          <w:szCs w:val="20"/>
          <w:lang w:val="en-GB"/>
        </w:rPr>
        <w:t xml:space="preserve">percentages indicating rate of </w:t>
      </w:r>
      <w:r w:rsidRPr="009B39EC">
        <w:rPr>
          <w:rFonts w:ascii="Arial" w:hAnsi="Arial" w:cs="Arial"/>
          <w:bCs/>
          <w:iCs/>
          <w:sz w:val="20"/>
          <w:szCs w:val="20"/>
          <w:lang w:val="en-GB"/>
        </w:rPr>
        <w:t xml:space="preserve">the realisation </w:t>
      </w:r>
      <w:r w:rsidR="006F1EFA" w:rsidRPr="009B39EC">
        <w:rPr>
          <w:rFonts w:ascii="Arial" w:hAnsi="Arial" w:cs="Arial"/>
          <w:bCs/>
          <w:iCs/>
          <w:sz w:val="20"/>
          <w:szCs w:val="20"/>
          <w:lang w:val="en-GB"/>
        </w:rPr>
        <w:t xml:space="preserve">of each objective in numerical terms are based on </w:t>
      </w:r>
      <w:r w:rsidRPr="009B39EC">
        <w:rPr>
          <w:rFonts w:ascii="Arial" w:hAnsi="Arial" w:cs="Arial"/>
          <w:bCs/>
          <w:iCs/>
          <w:sz w:val="20"/>
          <w:szCs w:val="20"/>
          <w:lang w:val="en-GB"/>
        </w:rPr>
        <w:t xml:space="preserve">the measurements </w:t>
      </w:r>
      <w:r w:rsidR="006F1EFA" w:rsidRPr="009B39EC">
        <w:rPr>
          <w:rFonts w:ascii="Arial" w:hAnsi="Arial" w:cs="Arial"/>
          <w:bCs/>
          <w:iCs/>
          <w:sz w:val="20"/>
          <w:szCs w:val="20"/>
          <w:lang w:val="en-GB"/>
        </w:rPr>
        <w:t xml:space="preserve">of each </w:t>
      </w:r>
      <w:r w:rsidRPr="009B39EC">
        <w:rPr>
          <w:rFonts w:ascii="Arial" w:hAnsi="Arial" w:cs="Arial"/>
          <w:bCs/>
          <w:iCs/>
          <w:sz w:val="20"/>
          <w:szCs w:val="20"/>
          <w:lang w:val="en-GB"/>
        </w:rPr>
        <w:t>indi</w:t>
      </w:r>
      <w:r w:rsidR="00DF0096" w:rsidRPr="009B39EC">
        <w:rPr>
          <w:rFonts w:ascii="Arial" w:hAnsi="Arial" w:cs="Arial"/>
          <w:bCs/>
          <w:iCs/>
          <w:sz w:val="20"/>
          <w:szCs w:val="20"/>
          <w:lang w:val="en-GB"/>
        </w:rPr>
        <w:t>cator</w:t>
      </w:r>
      <w:r w:rsidR="006F1EFA" w:rsidRPr="009B39EC">
        <w:rPr>
          <w:rFonts w:ascii="Arial" w:hAnsi="Arial" w:cs="Arial"/>
          <w:bCs/>
          <w:iCs/>
          <w:sz w:val="20"/>
          <w:szCs w:val="20"/>
          <w:lang w:val="en-GB"/>
        </w:rPr>
        <w:t xml:space="preserve"> or indicators under </w:t>
      </w:r>
      <w:r w:rsidR="007507CB" w:rsidRPr="009B39EC">
        <w:rPr>
          <w:rFonts w:ascii="Arial" w:hAnsi="Arial" w:cs="Arial"/>
          <w:bCs/>
          <w:iCs/>
          <w:sz w:val="20"/>
          <w:szCs w:val="20"/>
          <w:lang w:val="en-GB"/>
        </w:rPr>
        <w:t>the relevant</w:t>
      </w:r>
      <w:r w:rsidR="00DF0096" w:rsidRPr="009B39EC">
        <w:rPr>
          <w:rFonts w:ascii="Arial" w:hAnsi="Arial" w:cs="Arial"/>
          <w:bCs/>
          <w:iCs/>
          <w:sz w:val="20"/>
          <w:szCs w:val="20"/>
          <w:lang w:val="en-GB"/>
        </w:rPr>
        <w:t xml:space="preserve"> objective</w:t>
      </w:r>
      <w:r w:rsidR="006F1EFA" w:rsidRPr="009B39EC">
        <w:rPr>
          <w:rFonts w:ascii="Arial" w:hAnsi="Arial" w:cs="Arial"/>
          <w:bCs/>
          <w:iCs/>
          <w:sz w:val="20"/>
          <w:szCs w:val="20"/>
          <w:lang w:val="en-GB"/>
        </w:rPr>
        <w:t xml:space="preserve">; they do not imply, however, </w:t>
      </w:r>
      <w:r w:rsidR="00DF0096" w:rsidRPr="009B39EC">
        <w:rPr>
          <w:rFonts w:ascii="Arial" w:hAnsi="Arial" w:cs="Arial"/>
          <w:bCs/>
          <w:iCs/>
          <w:sz w:val="20"/>
          <w:szCs w:val="20"/>
          <w:lang w:val="en-GB"/>
        </w:rPr>
        <w:t xml:space="preserve">that there is no need for further intervention and progress in the areas identified </w:t>
      </w:r>
      <w:r w:rsidR="007507CB" w:rsidRPr="009B39EC">
        <w:rPr>
          <w:rFonts w:ascii="Arial" w:hAnsi="Arial" w:cs="Arial"/>
          <w:bCs/>
          <w:iCs/>
          <w:sz w:val="20"/>
          <w:szCs w:val="20"/>
          <w:lang w:val="en-GB"/>
        </w:rPr>
        <w:t xml:space="preserve">by each specific </w:t>
      </w:r>
      <w:r w:rsidR="00DF0096" w:rsidRPr="009B39EC">
        <w:rPr>
          <w:rFonts w:ascii="Arial" w:hAnsi="Arial" w:cs="Arial"/>
          <w:bCs/>
          <w:iCs/>
          <w:sz w:val="20"/>
          <w:szCs w:val="20"/>
          <w:lang w:val="en-GB"/>
        </w:rPr>
        <w:t xml:space="preserve">objective </w:t>
      </w:r>
      <w:r w:rsidR="007507CB" w:rsidRPr="009B39EC">
        <w:rPr>
          <w:rFonts w:ascii="Arial" w:hAnsi="Arial" w:cs="Arial"/>
          <w:bCs/>
          <w:iCs/>
          <w:sz w:val="20"/>
          <w:szCs w:val="20"/>
          <w:lang w:val="en-GB"/>
        </w:rPr>
        <w:t xml:space="preserve">or </w:t>
      </w:r>
      <w:r w:rsidR="00DF0096" w:rsidRPr="009B39EC">
        <w:rPr>
          <w:rFonts w:ascii="Arial" w:hAnsi="Arial" w:cs="Arial"/>
          <w:bCs/>
          <w:iCs/>
          <w:sz w:val="20"/>
          <w:szCs w:val="20"/>
          <w:lang w:val="en-GB"/>
        </w:rPr>
        <w:t xml:space="preserve">strategic </w:t>
      </w:r>
      <w:proofErr w:type="gramStart"/>
      <w:r w:rsidR="00DF0096" w:rsidRPr="009B39EC">
        <w:rPr>
          <w:rFonts w:ascii="Arial" w:hAnsi="Arial" w:cs="Arial"/>
          <w:bCs/>
          <w:iCs/>
          <w:sz w:val="20"/>
          <w:szCs w:val="20"/>
          <w:lang w:val="en-GB"/>
        </w:rPr>
        <w:t>goals as a whole</w:t>
      </w:r>
      <w:proofErr w:type="gramEnd"/>
      <w:r w:rsidR="00E50B1D" w:rsidRPr="009B39EC">
        <w:rPr>
          <w:rFonts w:ascii="Arial" w:hAnsi="Arial" w:cs="Arial"/>
          <w:bCs/>
          <w:iCs/>
          <w:sz w:val="20"/>
          <w:szCs w:val="20"/>
          <w:lang w:val="en-GB"/>
        </w:rPr>
        <w:t xml:space="preserve">. </w:t>
      </w:r>
    </w:p>
    <w:p w14:paraId="6541D8BA" w14:textId="77777777" w:rsidR="00D575F2" w:rsidRPr="009B39EC" w:rsidRDefault="00D575F2" w:rsidP="00E50B1D">
      <w:pPr>
        <w:widowControl w:val="0"/>
        <w:autoSpaceDE w:val="0"/>
        <w:autoSpaceDN w:val="0"/>
        <w:adjustRightInd w:val="0"/>
        <w:spacing w:after="0" w:line="240" w:lineRule="auto"/>
        <w:jc w:val="both"/>
        <w:rPr>
          <w:rFonts w:ascii="Arial" w:hAnsi="Arial" w:cs="Arial"/>
          <w:bCs/>
          <w:iCs/>
          <w:sz w:val="20"/>
          <w:szCs w:val="20"/>
          <w:lang w:val="en-GB"/>
        </w:rPr>
      </w:pPr>
    </w:p>
    <w:p w14:paraId="2BEC047F" w14:textId="177E5078" w:rsidR="00E50B1D" w:rsidRPr="009B39EC" w:rsidRDefault="0052525C" w:rsidP="00E50B1D">
      <w:pPr>
        <w:widowControl w:val="0"/>
        <w:pBdr>
          <w:top w:val="single" w:sz="4" w:space="1" w:color="auto"/>
          <w:left w:val="single" w:sz="4" w:space="4" w:color="auto"/>
          <w:bottom w:val="single" w:sz="4" w:space="1" w:color="auto"/>
          <w:right w:val="single" w:sz="4" w:space="4" w:color="auto"/>
        </w:pBdr>
        <w:shd w:val="clear" w:color="auto" w:fill="C45911" w:themeFill="accent2" w:themeFillShade="BF"/>
        <w:autoSpaceDE w:val="0"/>
        <w:autoSpaceDN w:val="0"/>
        <w:adjustRightInd w:val="0"/>
        <w:spacing w:after="0" w:line="240" w:lineRule="auto"/>
        <w:jc w:val="center"/>
        <w:rPr>
          <w:rFonts w:ascii="Arial" w:hAnsi="Arial" w:cs="Arial"/>
          <w:color w:val="FFFFFF" w:themeColor="background1"/>
          <w:sz w:val="20"/>
          <w:szCs w:val="20"/>
          <w:lang w:val="en-GB"/>
        </w:rPr>
      </w:pPr>
      <w:r w:rsidRPr="009B39EC">
        <w:rPr>
          <w:rFonts w:ascii="Arial" w:hAnsi="Arial" w:cs="Arial"/>
          <w:b/>
          <w:color w:val="FFFFFF" w:themeColor="background1"/>
          <w:sz w:val="20"/>
          <w:szCs w:val="20"/>
          <w:u w:val="single"/>
          <w:lang w:val="en-GB"/>
        </w:rPr>
        <w:t>Strategic Goal</w:t>
      </w:r>
      <w:r w:rsidR="00E50B1D" w:rsidRPr="009B39EC">
        <w:rPr>
          <w:rFonts w:ascii="Arial" w:hAnsi="Arial" w:cs="Arial"/>
          <w:b/>
          <w:color w:val="FFFFFF" w:themeColor="background1"/>
          <w:sz w:val="20"/>
          <w:szCs w:val="20"/>
          <w:u w:val="single"/>
          <w:lang w:val="en-GB"/>
        </w:rPr>
        <w:t xml:space="preserve"> 3</w:t>
      </w:r>
      <w:r w:rsidR="00E50B1D" w:rsidRPr="009B39EC">
        <w:rPr>
          <w:rFonts w:ascii="Arial" w:hAnsi="Arial" w:cs="Arial"/>
          <w:b/>
          <w:color w:val="FFFFFF" w:themeColor="background1"/>
          <w:sz w:val="20"/>
          <w:szCs w:val="20"/>
          <w:lang w:val="en-GB"/>
        </w:rPr>
        <w:t>:</w:t>
      </w:r>
      <w:r w:rsidR="00E50B1D" w:rsidRPr="009B39EC">
        <w:rPr>
          <w:rFonts w:ascii="Arial" w:hAnsi="Arial" w:cs="Arial"/>
          <w:color w:val="FFFFFF" w:themeColor="background1"/>
          <w:sz w:val="20"/>
          <w:szCs w:val="20"/>
          <w:lang w:val="en-GB"/>
        </w:rPr>
        <w:t xml:space="preserve"> </w:t>
      </w:r>
    </w:p>
    <w:p w14:paraId="18754319" w14:textId="60C72E60" w:rsidR="00E50B1D" w:rsidRPr="009B39EC" w:rsidRDefault="00E50B1D" w:rsidP="00E50B1D">
      <w:pPr>
        <w:widowControl w:val="0"/>
        <w:pBdr>
          <w:top w:val="single" w:sz="4" w:space="1" w:color="auto"/>
          <w:left w:val="single" w:sz="4" w:space="4" w:color="auto"/>
          <w:bottom w:val="single" w:sz="4" w:space="1" w:color="auto"/>
          <w:right w:val="single" w:sz="4" w:space="4" w:color="auto"/>
        </w:pBdr>
        <w:shd w:val="clear" w:color="auto" w:fill="C45911" w:themeFill="accent2" w:themeFillShade="BF"/>
        <w:autoSpaceDE w:val="0"/>
        <w:autoSpaceDN w:val="0"/>
        <w:adjustRightInd w:val="0"/>
        <w:spacing w:after="0" w:line="240" w:lineRule="auto"/>
        <w:jc w:val="center"/>
        <w:rPr>
          <w:rFonts w:ascii="Arial" w:hAnsi="Arial" w:cs="Arial"/>
          <w:b/>
          <w:color w:val="FFFFFF" w:themeColor="background1"/>
          <w:sz w:val="20"/>
          <w:szCs w:val="20"/>
          <w:lang w:val="en-GB"/>
        </w:rPr>
      </w:pPr>
      <w:r w:rsidRPr="009B39EC">
        <w:rPr>
          <w:rFonts w:ascii="Arial" w:hAnsi="Arial" w:cs="Arial"/>
          <w:b/>
          <w:color w:val="FFFFFF" w:themeColor="background1"/>
          <w:sz w:val="20"/>
          <w:szCs w:val="20"/>
          <w:lang w:val="en-GB"/>
        </w:rPr>
        <w:t>Re</w:t>
      </w:r>
      <w:r w:rsidR="00127B55" w:rsidRPr="009B39EC">
        <w:rPr>
          <w:rFonts w:ascii="Arial" w:hAnsi="Arial" w:cs="Arial"/>
          <w:b/>
          <w:color w:val="FFFFFF" w:themeColor="background1"/>
          <w:sz w:val="20"/>
          <w:szCs w:val="20"/>
          <w:lang w:val="en-GB"/>
        </w:rPr>
        <w:t>duction of gender-based violence and domestic violence</w:t>
      </w:r>
      <w:r w:rsidRPr="009B39EC">
        <w:rPr>
          <w:rFonts w:ascii="Arial" w:hAnsi="Arial" w:cs="Arial"/>
          <w:b/>
          <w:color w:val="FFFFFF" w:themeColor="background1"/>
          <w:sz w:val="20"/>
          <w:szCs w:val="20"/>
          <w:lang w:val="en-GB"/>
        </w:rPr>
        <w:t xml:space="preserve"> = 84.8</w:t>
      </w:r>
      <w:r w:rsidR="007515B1" w:rsidRPr="009B39EC">
        <w:rPr>
          <w:rFonts w:ascii="Arial" w:hAnsi="Arial" w:cs="Arial"/>
          <w:b/>
          <w:color w:val="FFFFFF" w:themeColor="background1"/>
          <w:sz w:val="20"/>
          <w:szCs w:val="20"/>
          <w:lang w:val="en-GB"/>
        </w:rPr>
        <w: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67"/>
      </w:tblGrid>
      <w:tr w:rsidR="00E50B1D" w:rsidRPr="009B39EC" w14:paraId="24A463B8" w14:textId="77777777" w:rsidTr="00E50B1D">
        <w:tc>
          <w:tcPr>
            <w:tcW w:w="8995" w:type="dxa"/>
            <w:gridSpan w:val="2"/>
            <w:shd w:val="clear" w:color="auto" w:fill="FBE4D5" w:themeFill="accent2" w:themeFillTint="33"/>
          </w:tcPr>
          <w:p w14:paraId="659BCA15" w14:textId="2739BDF1" w:rsidR="00E50B1D" w:rsidRPr="009B39EC" w:rsidRDefault="00127B55" w:rsidP="00E50B1D">
            <w:pPr>
              <w:spacing w:after="0" w:line="240" w:lineRule="auto"/>
              <w:jc w:val="both"/>
              <w:rPr>
                <w:rFonts w:ascii="Arial" w:hAnsi="Arial" w:cs="Arial"/>
                <w:sz w:val="20"/>
                <w:szCs w:val="20"/>
                <w:lang w:val="en-GB"/>
              </w:rPr>
            </w:pPr>
            <w:r w:rsidRPr="009B39EC">
              <w:rPr>
                <w:rFonts w:ascii="Arial" w:hAnsi="Arial" w:cs="Arial"/>
                <w:b/>
                <w:sz w:val="20"/>
                <w:szCs w:val="20"/>
                <w:u w:val="single"/>
                <w:lang w:val="en-GB"/>
              </w:rPr>
              <w:t>Specific objective</w:t>
            </w:r>
            <w:r w:rsidR="00A72B1D" w:rsidRPr="009B39EC">
              <w:rPr>
                <w:rFonts w:ascii="Arial" w:hAnsi="Arial" w:cs="Arial"/>
                <w:b/>
                <w:sz w:val="20"/>
                <w:szCs w:val="20"/>
                <w:u w:val="single"/>
                <w:lang w:val="en-GB"/>
              </w:rPr>
              <w:t xml:space="preserve"> </w:t>
            </w:r>
            <w:r w:rsidR="00E50B1D" w:rsidRPr="009B39EC">
              <w:rPr>
                <w:rFonts w:ascii="Arial" w:hAnsi="Arial" w:cs="Arial"/>
                <w:b/>
                <w:sz w:val="20"/>
                <w:szCs w:val="20"/>
                <w:u w:val="single"/>
                <w:lang w:val="en-GB"/>
              </w:rPr>
              <w:t>3.1:</w:t>
            </w:r>
            <w:r w:rsidR="00E50B1D" w:rsidRPr="009B39EC">
              <w:rPr>
                <w:rFonts w:ascii="Arial" w:hAnsi="Arial" w:cs="Arial"/>
                <w:sz w:val="20"/>
                <w:szCs w:val="20"/>
                <w:lang w:val="en-GB"/>
              </w:rPr>
              <w:t xml:space="preserve"> </w:t>
            </w:r>
            <w:r w:rsidRPr="009B39EC">
              <w:rPr>
                <w:rFonts w:ascii="Arial" w:hAnsi="Arial" w:cs="Arial"/>
                <w:b/>
                <w:bCs/>
                <w:sz w:val="20"/>
                <w:szCs w:val="20"/>
                <w:lang w:val="en-GB"/>
              </w:rPr>
              <w:t>Raising awareness in the society not to accept and not to tolerate gender-based violence and domestic violence</w:t>
            </w:r>
            <w:r w:rsidR="00E50B1D" w:rsidRPr="009B39EC">
              <w:rPr>
                <w:rFonts w:ascii="Arial" w:hAnsi="Arial" w:cs="Arial"/>
                <w:b/>
                <w:sz w:val="20"/>
                <w:szCs w:val="20"/>
                <w:lang w:val="en-GB"/>
              </w:rPr>
              <w:t>.</w:t>
            </w:r>
          </w:p>
        </w:tc>
      </w:tr>
      <w:tr w:rsidR="00E50B1D" w:rsidRPr="009B39EC" w14:paraId="73A314CF" w14:textId="77777777" w:rsidTr="00E50B1D">
        <w:tc>
          <w:tcPr>
            <w:tcW w:w="8995" w:type="dxa"/>
            <w:gridSpan w:val="2"/>
            <w:shd w:val="clear" w:color="auto" w:fill="FBE4D5" w:themeFill="accent2" w:themeFillTint="33"/>
          </w:tcPr>
          <w:p w14:paraId="51924663" w14:textId="5E3C3AE3" w:rsidR="00E50B1D" w:rsidRPr="009B39EC" w:rsidRDefault="00127B55" w:rsidP="00E50B1D">
            <w:pPr>
              <w:spacing w:after="0" w:line="240" w:lineRule="auto"/>
              <w:jc w:val="both"/>
              <w:rPr>
                <w:rFonts w:ascii="Arial" w:hAnsi="Arial" w:cs="Arial"/>
                <w:b/>
                <w:sz w:val="20"/>
                <w:szCs w:val="20"/>
                <w:lang w:val="en-GB"/>
              </w:rPr>
            </w:pPr>
            <w:r w:rsidRPr="009B39EC">
              <w:rPr>
                <w:rFonts w:ascii="Arial" w:eastAsia="Times New Roman" w:hAnsi="Arial" w:cs="Arial"/>
                <w:b/>
                <w:iCs/>
                <w:sz w:val="20"/>
                <w:szCs w:val="20"/>
                <w:u w:val="single"/>
                <w:lang w:val="en-GB"/>
              </w:rPr>
              <w:t>Objective indicator</w:t>
            </w:r>
            <w:r w:rsidR="00E50B1D" w:rsidRPr="009B39EC">
              <w:rPr>
                <w:rFonts w:ascii="Arial" w:eastAsia="Times New Roman" w:hAnsi="Arial" w:cs="Arial"/>
                <w:b/>
                <w:iCs/>
                <w:sz w:val="20"/>
                <w:szCs w:val="20"/>
                <w:u w:val="single"/>
                <w:lang w:val="en-GB"/>
              </w:rPr>
              <w:t>:</w:t>
            </w:r>
            <w:r w:rsidR="00E50B1D" w:rsidRPr="009B39EC">
              <w:rPr>
                <w:rFonts w:ascii="Arial" w:eastAsia="Times New Roman" w:hAnsi="Arial" w:cs="Arial"/>
                <w:i/>
                <w:iCs/>
                <w:sz w:val="20"/>
                <w:szCs w:val="20"/>
                <w:lang w:val="en-GB"/>
              </w:rPr>
              <w:t xml:space="preserve"> </w:t>
            </w:r>
            <w:r w:rsidRPr="009B39EC">
              <w:rPr>
                <w:rFonts w:ascii="Arial" w:eastAsia="Times New Roman" w:hAnsi="Arial" w:cs="Arial"/>
                <w:sz w:val="20"/>
                <w:szCs w:val="20"/>
                <w:lang w:val="en-GB"/>
              </w:rPr>
              <w:t xml:space="preserve">At the end of </w:t>
            </w:r>
            <w:r w:rsidR="00E50B1D" w:rsidRPr="009B39EC">
              <w:rPr>
                <w:rFonts w:ascii="Arial" w:eastAsia="Times New Roman" w:hAnsi="Arial" w:cs="Arial"/>
                <w:iCs/>
                <w:sz w:val="20"/>
                <w:szCs w:val="20"/>
                <w:lang w:val="en-GB"/>
              </w:rPr>
              <w:t xml:space="preserve">2020, </w:t>
            </w:r>
            <w:r w:rsidRPr="009B39EC">
              <w:rPr>
                <w:rFonts w:ascii="Arial" w:eastAsia="Times New Roman" w:hAnsi="Arial" w:cs="Arial"/>
                <w:iCs/>
                <w:sz w:val="20"/>
                <w:szCs w:val="20"/>
                <w:lang w:val="en-GB"/>
              </w:rPr>
              <w:t xml:space="preserve">the number of </w:t>
            </w:r>
            <w:r w:rsidR="00321FDD" w:rsidRPr="009B39EC">
              <w:rPr>
                <w:rFonts w:ascii="Arial" w:eastAsia="Times New Roman" w:hAnsi="Arial" w:cs="Arial"/>
                <w:iCs/>
                <w:sz w:val="20"/>
                <w:szCs w:val="20"/>
                <w:lang w:val="en-GB"/>
              </w:rPr>
              <w:t>persons</w:t>
            </w:r>
            <w:r w:rsidRPr="009B39EC">
              <w:rPr>
                <w:rFonts w:ascii="Arial" w:eastAsia="Times New Roman" w:hAnsi="Arial" w:cs="Arial"/>
                <w:iCs/>
                <w:sz w:val="20"/>
                <w:szCs w:val="20"/>
                <w:lang w:val="en-GB"/>
              </w:rPr>
              <w:t xml:space="preserve"> in the country who believe</w:t>
            </w:r>
            <w:r w:rsidR="00321FDD" w:rsidRPr="009B39EC">
              <w:rPr>
                <w:rFonts w:ascii="Arial" w:eastAsia="Times New Roman" w:hAnsi="Arial" w:cs="Arial"/>
                <w:iCs/>
                <w:sz w:val="20"/>
                <w:szCs w:val="20"/>
                <w:lang w:val="en-GB"/>
              </w:rPr>
              <w:t>d</w:t>
            </w:r>
            <w:r w:rsidRPr="009B39EC">
              <w:rPr>
                <w:rFonts w:ascii="Arial" w:eastAsia="Times New Roman" w:hAnsi="Arial" w:cs="Arial"/>
                <w:iCs/>
                <w:sz w:val="20"/>
                <w:szCs w:val="20"/>
                <w:lang w:val="en-GB"/>
              </w:rPr>
              <w:t xml:space="preserve"> that </w:t>
            </w:r>
            <w:r w:rsidR="00264A56" w:rsidRPr="009B39EC">
              <w:rPr>
                <w:rFonts w:ascii="Arial" w:eastAsia="Times New Roman" w:hAnsi="Arial" w:cs="Arial"/>
                <w:iCs/>
                <w:sz w:val="20"/>
                <w:szCs w:val="20"/>
                <w:lang w:val="en-GB"/>
              </w:rPr>
              <w:t>gender-based</w:t>
            </w:r>
            <w:r w:rsidRPr="009B39EC">
              <w:rPr>
                <w:rFonts w:ascii="Arial" w:eastAsia="Times New Roman" w:hAnsi="Arial" w:cs="Arial"/>
                <w:iCs/>
                <w:sz w:val="20"/>
                <w:szCs w:val="20"/>
                <w:lang w:val="en-GB"/>
              </w:rPr>
              <w:t xml:space="preserve"> violence and domestic violence are unacceptable and </w:t>
            </w:r>
            <w:r w:rsidR="0000741E" w:rsidRPr="009B39EC">
              <w:rPr>
                <w:rFonts w:ascii="Arial" w:eastAsia="Times New Roman" w:hAnsi="Arial" w:cs="Arial"/>
                <w:iCs/>
                <w:sz w:val="20"/>
                <w:szCs w:val="20"/>
                <w:lang w:val="en-GB"/>
              </w:rPr>
              <w:t xml:space="preserve">should not be tolerated increased by </w:t>
            </w:r>
            <w:r w:rsidR="00E50B1D" w:rsidRPr="009B39EC">
              <w:rPr>
                <w:rFonts w:ascii="Arial" w:hAnsi="Arial" w:cs="Arial"/>
                <w:sz w:val="20"/>
                <w:szCs w:val="20"/>
                <w:lang w:val="en-GB" w:eastAsia="sq-AL"/>
              </w:rPr>
              <w:t>30</w:t>
            </w:r>
            <w:r w:rsidR="007515B1" w:rsidRPr="009B39EC">
              <w:rPr>
                <w:rFonts w:ascii="Arial" w:hAnsi="Arial" w:cs="Arial"/>
                <w:sz w:val="20"/>
                <w:szCs w:val="20"/>
                <w:lang w:val="en-GB" w:eastAsia="sq-AL"/>
              </w:rPr>
              <w:t>%</w:t>
            </w:r>
            <w:r w:rsidR="00E50B1D" w:rsidRPr="009B39EC">
              <w:rPr>
                <w:rFonts w:ascii="Arial" w:eastAsia="Times New Roman" w:hAnsi="Arial" w:cs="Arial"/>
                <w:iCs/>
                <w:sz w:val="20"/>
                <w:szCs w:val="20"/>
                <w:lang w:val="en-GB"/>
              </w:rPr>
              <w:t>.</w:t>
            </w:r>
          </w:p>
        </w:tc>
      </w:tr>
      <w:tr w:rsidR="00E50B1D" w:rsidRPr="009B39EC" w14:paraId="34AFE809" w14:textId="77777777" w:rsidTr="00E50B1D">
        <w:tc>
          <w:tcPr>
            <w:tcW w:w="8995" w:type="dxa"/>
            <w:gridSpan w:val="2"/>
            <w:shd w:val="clear" w:color="auto" w:fill="FBE4D5" w:themeFill="accent2" w:themeFillTint="33"/>
          </w:tcPr>
          <w:p w14:paraId="52624907" w14:textId="12E4512C" w:rsidR="00E50B1D" w:rsidRPr="009B39EC" w:rsidRDefault="007515B1" w:rsidP="00D575F2">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r w:rsidRPr="009B39EC">
              <w:rPr>
                <w:rFonts w:ascii="Arial" w:eastAsia="Times New Roman" w:hAnsi="Arial" w:cs="Arial"/>
                <w:b/>
                <w:i/>
                <w:iCs/>
                <w:sz w:val="20"/>
                <w:szCs w:val="20"/>
                <w:u w:val="single"/>
                <w:lang w:val="en-GB"/>
              </w:rPr>
              <w:t>Realisation of the objective</w:t>
            </w:r>
            <w:r w:rsidR="00E50B1D" w:rsidRPr="009B39EC">
              <w:rPr>
                <w:rFonts w:ascii="Arial" w:eastAsia="Times New Roman" w:hAnsi="Arial" w:cs="Arial"/>
                <w:b/>
                <w:i/>
                <w:iCs/>
                <w:sz w:val="20"/>
                <w:szCs w:val="20"/>
                <w:u w:val="single"/>
                <w:lang w:val="en-GB"/>
              </w:rPr>
              <w:t>:</w:t>
            </w:r>
            <w:r w:rsidR="00E50B1D" w:rsidRPr="009B39EC">
              <w:rPr>
                <w:rFonts w:ascii="Arial" w:eastAsia="Times New Roman" w:hAnsi="Arial" w:cs="Arial"/>
                <w:b/>
                <w:i/>
                <w:iCs/>
                <w:sz w:val="20"/>
                <w:szCs w:val="20"/>
                <w:lang w:val="en-GB"/>
              </w:rPr>
              <w:t xml:space="preserve">  </w:t>
            </w:r>
            <w:r w:rsidR="006D66D8" w:rsidRPr="009B39EC">
              <w:rPr>
                <w:rFonts w:ascii="Arial" w:eastAsia="Times New Roman" w:hAnsi="Arial" w:cs="Arial"/>
                <w:b/>
                <w:iCs/>
                <w:color w:val="ED7D31" w:themeColor="accent2"/>
                <w:sz w:val="20"/>
                <w:szCs w:val="20"/>
                <w:lang w:val="en-GB"/>
              </w:rPr>
              <w:t>NEARLY</w:t>
            </w:r>
            <w:r w:rsidR="00E50B1D" w:rsidRPr="009B39EC">
              <w:rPr>
                <w:rFonts w:ascii="Arial" w:eastAsia="Times New Roman" w:hAnsi="Arial" w:cs="Arial"/>
                <w:b/>
                <w:iCs/>
                <w:color w:val="ED7D31" w:themeColor="accent2"/>
                <w:sz w:val="20"/>
                <w:szCs w:val="20"/>
                <w:lang w:val="en-GB"/>
              </w:rPr>
              <w:t xml:space="preserve"> </w:t>
            </w:r>
            <w:r w:rsidR="006D66D8" w:rsidRPr="009B39EC">
              <w:rPr>
                <w:rFonts w:ascii="Arial" w:eastAsia="Times New Roman" w:hAnsi="Arial" w:cs="Arial"/>
                <w:b/>
                <w:iCs/>
                <w:color w:val="ED7D31" w:themeColor="accent2"/>
                <w:sz w:val="20"/>
                <w:szCs w:val="20"/>
                <w:lang w:val="en-GB"/>
              </w:rPr>
              <w:t>FULLY</w:t>
            </w:r>
            <w:r w:rsidR="00E50B1D" w:rsidRPr="009B39EC">
              <w:rPr>
                <w:rFonts w:ascii="Arial" w:eastAsia="Times New Roman" w:hAnsi="Arial" w:cs="Arial"/>
                <w:b/>
                <w:iCs/>
                <w:color w:val="ED7D31" w:themeColor="accent2"/>
                <w:sz w:val="20"/>
                <w:szCs w:val="20"/>
                <w:lang w:val="en-GB"/>
              </w:rPr>
              <w:t xml:space="preserve"> </w:t>
            </w:r>
            <w:r w:rsidR="00A72B1D" w:rsidRPr="009B39EC">
              <w:rPr>
                <w:rFonts w:ascii="Arial" w:eastAsia="Times New Roman" w:hAnsi="Arial" w:cs="Arial"/>
                <w:b/>
                <w:iCs/>
                <w:color w:val="ED7D31" w:themeColor="accent2"/>
                <w:sz w:val="20"/>
                <w:szCs w:val="20"/>
                <w:lang w:val="en-GB"/>
              </w:rPr>
              <w:t xml:space="preserve">REALISED </w:t>
            </w:r>
            <w:r w:rsidR="00E50B1D" w:rsidRPr="009B39EC">
              <w:rPr>
                <w:rFonts w:ascii="Arial" w:eastAsia="Times New Roman" w:hAnsi="Arial" w:cs="Arial"/>
                <w:b/>
                <w:iCs/>
                <w:color w:val="ED7D31" w:themeColor="accent2"/>
                <w:sz w:val="20"/>
                <w:szCs w:val="20"/>
                <w:lang w:val="en-GB"/>
              </w:rPr>
              <w:t>(92</w:t>
            </w:r>
            <w:r w:rsidRPr="009B39EC">
              <w:rPr>
                <w:rFonts w:ascii="Arial" w:eastAsia="Times New Roman" w:hAnsi="Arial" w:cs="Arial"/>
                <w:b/>
                <w:iCs/>
                <w:color w:val="ED7D31" w:themeColor="accent2"/>
                <w:sz w:val="20"/>
                <w:szCs w:val="20"/>
                <w:lang w:val="en-GB"/>
              </w:rPr>
              <w:t>%</w:t>
            </w:r>
            <w:r w:rsidR="00E50B1D" w:rsidRPr="009B39EC">
              <w:rPr>
                <w:rFonts w:ascii="Arial" w:eastAsia="Times New Roman" w:hAnsi="Arial" w:cs="Arial"/>
                <w:b/>
                <w:iCs/>
                <w:color w:val="ED7D31" w:themeColor="accent2"/>
                <w:sz w:val="20"/>
                <w:szCs w:val="20"/>
                <w:lang w:val="en-GB"/>
              </w:rPr>
              <w:t>).</w:t>
            </w:r>
          </w:p>
          <w:p w14:paraId="1F9866E3" w14:textId="20C34903" w:rsidR="00E50B1D" w:rsidRPr="009B39EC" w:rsidRDefault="00E50B1D" w:rsidP="00D575F2">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r w:rsidRPr="009B39EC">
              <w:rPr>
                <w:rFonts w:ascii="Arial" w:eastAsia="Times New Roman" w:hAnsi="Arial" w:cs="Arial"/>
                <w:b/>
                <w:i/>
                <w:iCs/>
                <w:color w:val="ED7D31" w:themeColor="accent2"/>
                <w:sz w:val="20"/>
                <w:szCs w:val="20"/>
                <w:lang w:val="en-GB"/>
              </w:rPr>
              <w:t xml:space="preserve">    </w:t>
            </w:r>
            <w:r w:rsidR="00D575F2" w:rsidRPr="009B39EC">
              <w:rPr>
                <w:rFonts w:ascii="Arial" w:eastAsia="Times New Roman" w:hAnsi="Arial" w:cs="Arial"/>
                <w:b/>
                <w:i/>
                <w:iCs/>
                <w:color w:val="ED7D31" w:themeColor="accent2"/>
                <w:sz w:val="20"/>
                <w:szCs w:val="20"/>
                <w:lang w:val="en-GB"/>
              </w:rPr>
              <w:t xml:space="preserve">   </w:t>
            </w:r>
          </w:p>
        </w:tc>
      </w:tr>
      <w:tr w:rsidR="00E50B1D" w:rsidRPr="009B39EC" w14:paraId="72F7A858" w14:textId="77777777" w:rsidTr="00E50B1D">
        <w:tc>
          <w:tcPr>
            <w:tcW w:w="2628" w:type="dxa"/>
            <w:shd w:val="clear" w:color="auto" w:fill="FBE4D5" w:themeFill="accent2" w:themeFillTint="33"/>
          </w:tcPr>
          <w:p w14:paraId="5B656561" w14:textId="51749A5E"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Outcomes expected to be achieved by </w:t>
            </w:r>
            <w:r w:rsidR="00E50B1D" w:rsidRPr="009B39EC">
              <w:rPr>
                <w:rFonts w:ascii="Arial" w:hAnsi="Arial" w:cs="Arial"/>
                <w:b/>
                <w:sz w:val="20"/>
                <w:szCs w:val="20"/>
                <w:lang w:val="en-GB"/>
              </w:rPr>
              <w:t>2020</w:t>
            </w:r>
          </w:p>
        </w:tc>
        <w:tc>
          <w:tcPr>
            <w:tcW w:w="6367" w:type="dxa"/>
            <w:shd w:val="clear" w:color="auto" w:fill="FBE4D5" w:themeFill="accent2" w:themeFillTint="33"/>
          </w:tcPr>
          <w:p w14:paraId="5BEF1859" w14:textId="77777777" w:rsidR="00E50B1D" w:rsidRPr="009B39EC" w:rsidRDefault="00E50B1D" w:rsidP="00E50B1D">
            <w:pPr>
              <w:spacing w:after="0" w:line="240" w:lineRule="auto"/>
              <w:jc w:val="center"/>
              <w:rPr>
                <w:rFonts w:ascii="Arial" w:hAnsi="Arial" w:cs="Arial"/>
                <w:b/>
                <w:sz w:val="20"/>
                <w:szCs w:val="20"/>
                <w:lang w:val="en-GB"/>
              </w:rPr>
            </w:pPr>
          </w:p>
          <w:p w14:paraId="7E85ED90" w14:textId="2FC3B17C"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E50B1D" w:rsidRPr="009B39EC">
              <w:rPr>
                <w:rFonts w:ascii="Arial" w:hAnsi="Arial" w:cs="Arial"/>
                <w:b/>
                <w:sz w:val="20"/>
                <w:szCs w:val="20"/>
                <w:lang w:val="en-GB"/>
              </w:rPr>
              <w:t>2020</w:t>
            </w:r>
          </w:p>
        </w:tc>
      </w:tr>
      <w:tr w:rsidR="00E50B1D" w:rsidRPr="009B39EC" w14:paraId="30CA7E9B" w14:textId="77777777" w:rsidTr="00491D1F">
        <w:tc>
          <w:tcPr>
            <w:tcW w:w="2628" w:type="dxa"/>
          </w:tcPr>
          <w:p w14:paraId="22021BB3" w14:textId="5C2E85AD"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1. </w:t>
            </w:r>
            <w:r w:rsidR="0000741E" w:rsidRPr="009B39EC">
              <w:rPr>
                <w:rFonts w:ascii="Arial" w:eastAsia="Times New Roman" w:hAnsi="Arial" w:cs="Arial"/>
                <w:sz w:val="20"/>
                <w:szCs w:val="20"/>
                <w:lang w:val="en-GB"/>
              </w:rPr>
              <w:t xml:space="preserve">At the end of </w:t>
            </w:r>
            <w:r w:rsidR="0000741E" w:rsidRPr="009B39EC">
              <w:rPr>
                <w:rFonts w:ascii="Arial" w:eastAsia="Times New Roman" w:hAnsi="Arial" w:cs="Arial"/>
                <w:iCs/>
                <w:sz w:val="20"/>
                <w:szCs w:val="20"/>
                <w:lang w:val="en-GB"/>
              </w:rPr>
              <w:t>2020, the number of individuals in the country who believe</w:t>
            </w:r>
            <w:r w:rsidR="00321FDD" w:rsidRPr="009B39EC">
              <w:rPr>
                <w:rFonts w:ascii="Arial" w:eastAsia="Times New Roman" w:hAnsi="Arial" w:cs="Arial"/>
                <w:iCs/>
                <w:sz w:val="20"/>
                <w:szCs w:val="20"/>
                <w:lang w:val="en-GB"/>
              </w:rPr>
              <w:t>d</w:t>
            </w:r>
            <w:r w:rsidR="0000741E" w:rsidRPr="009B39EC">
              <w:rPr>
                <w:rFonts w:ascii="Arial" w:eastAsia="Times New Roman" w:hAnsi="Arial" w:cs="Arial"/>
                <w:iCs/>
                <w:sz w:val="20"/>
                <w:szCs w:val="20"/>
                <w:lang w:val="en-GB"/>
              </w:rPr>
              <w:t xml:space="preserve"> that </w:t>
            </w:r>
            <w:r w:rsidR="00264A56" w:rsidRPr="009B39EC">
              <w:rPr>
                <w:rFonts w:ascii="Arial" w:eastAsia="Times New Roman" w:hAnsi="Arial" w:cs="Arial"/>
                <w:iCs/>
                <w:sz w:val="20"/>
                <w:szCs w:val="20"/>
                <w:lang w:val="en-GB"/>
              </w:rPr>
              <w:t>gender-based</w:t>
            </w:r>
            <w:r w:rsidR="0000741E" w:rsidRPr="009B39EC">
              <w:rPr>
                <w:rFonts w:ascii="Arial" w:eastAsia="Times New Roman" w:hAnsi="Arial" w:cs="Arial"/>
                <w:iCs/>
                <w:sz w:val="20"/>
                <w:szCs w:val="20"/>
                <w:lang w:val="en-GB"/>
              </w:rPr>
              <w:t xml:space="preserve"> violence and domestic violence are unacceptable and should not be tolerated increased by </w:t>
            </w:r>
            <w:r w:rsidR="0000741E" w:rsidRPr="009B39EC">
              <w:rPr>
                <w:rFonts w:ascii="Arial" w:hAnsi="Arial" w:cs="Arial"/>
                <w:sz w:val="20"/>
                <w:szCs w:val="20"/>
                <w:lang w:val="en-GB" w:eastAsia="sq-AL"/>
              </w:rPr>
              <w:t>30</w:t>
            </w:r>
            <w:r w:rsidR="007515B1" w:rsidRPr="009B39EC">
              <w:rPr>
                <w:rFonts w:ascii="Arial" w:hAnsi="Arial" w:cs="Arial"/>
                <w:sz w:val="20"/>
                <w:szCs w:val="20"/>
                <w:lang w:val="en-GB" w:eastAsia="sq-AL"/>
              </w:rPr>
              <w:t>%</w:t>
            </w:r>
            <w:r w:rsidR="0000741E" w:rsidRPr="009B39EC">
              <w:rPr>
                <w:rFonts w:ascii="Arial" w:hAnsi="Arial" w:cs="Arial"/>
                <w:sz w:val="20"/>
                <w:szCs w:val="20"/>
                <w:lang w:val="en-GB" w:eastAsia="sq-AL"/>
              </w:rPr>
              <w:t>.</w:t>
            </w:r>
          </w:p>
        </w:tc>
        <w:tc>
          <w:tcPr>
            <w:tcW w:w="6367" w:type="dxa"/>
          </w:tcPr>
          <w:p w14:paraId="45ED72E0" w14:textId="729F4B4A" w:rsidR="00E50B1D" w:rsidRPr="009B39EC" w:rsidRDefault="00321FDD" w:rsidP="00E50B1D">
            <w:pPr>
              <w:spacing w:after="0" w:line="240" w:lineRule="auto"/>
              <w:jc w:val="both"/>
              <w:rPr>
                <w:rFonts w:ascii="Arial" w:hAnsi="Arial" w:cs="Arial"/>
                <w:sz w:val="20"/>
                <w:szCs w:val="20"/>
                <w:lang w:val="en-GB"/>
              </w:rPr>
            </w:pPr>
            <w:r w:rsidRPr="009B39EC">
              <w:rPr>
                <w:rFonts w:ascii="Arial" w:hAnsi="Arial" w:cs="Arial"/>
                <w:b/>
                <w:sz w:val="20"/>
                <w:szCs w:val="20"/>
                <w:lang w:val="en-GB"/>
              </w:rPr>
              <w:t xml:space="preserve">The next national periodic survey on violence against women and girls is not due until a </w:t>
            </w:r>
            <w:r w:rsidR="007507CB" w:rsidRPr="009B39EC">
              <w:rPr>
                <w:rFonts w:ascii="Arial" w:hAnsi="Arial" w:cs="Arial"/>
                <w:b/>
                <w:sz w:val="20"/>
                <w:szCs w:val="20"/>
                <w:lang w:val="en-GB"/>
              </w:rPr>
              <w:t>couple of</w:t>
            </w:r>
            <w:r w:rsidRPr="009B39EC">
              <w:rPr>
                <w:rFonts w:ascii="Arial" w:hAnsi="Arial" w:cs="Arial"/>
                <w:b/>
                <w:sz w:val="20"/>
                <w:szCs w:val="20"/>
                <w:lang w:val="en-GB"/>
              </w:rPr>
              <w:t xml:space="preserve"> ye</w:t>
            </w:r>
            <w:r w:rsidR="00585418" w:rsidRPr="009B39EC">
              <w:rPr>
                <w:rFonts w:ascii="Arial" w:hAnsi="Arial" w:cs="Arial"/>
                <w:b/>
                <w:sz w:val="20"/>
                <w:szCs w:val="20"/>
                <w:lang w:val="en-GB"/>
              </w:rPr>
              <w:t xml:space="preserve">ars from now; such a survey will enable a true measurement of the perceptions </w:t>
            </w:r>
            <w:r w:rsidR="007507CB" w:rsidRPr="009B39EC">
              <w:rPr>
                <w:rFonts w:ascii="Arial" w:hAnsi="Arial" w:cs="Arial"/>
                <w:b/>
                <w:sz w:val="20"/>
                <w:szCs w:val="20"/>
                <w:lang w:val="en-GB"/>
              </w:rPr>
              <w:t>regarding</w:t>
            </w:r>
            <w:r w:rsidR="00585418" w:rsidRPr="009B39EC">
              <w:rPr>
                <w:rFonts w:ascii="Arial" w:hAnsi="Arial" w:cs="Arial"/>
                <w:b/>
                <w:sz w:val="20"/>
                <w:szCs w:val="20"/>
                <w:lang w:val="en-GB"/>
              </w:rPr>
              <w:t xml:space="preserve"> </w:t>
            </w:r>
            <w:r w:rsidR="00924683" w:rsidRPr="009B39EC">
              <w:rPr>
                <w:rFonts w:ascii="Arial" w:hAnsi="Arial" w:cs="Arial"/>
                <w:b/>
                <w:sz w:val="20"/>
                <w:szCs w:val="20"/>
                <w:lang w:val="en-GB"/>
              </w:rPr>
              <w:t xml:space="preserve">zero </w:t>
            </w:r>
            <w:r w:rsidR="00585418" w:rsidRPr="009B39EC">
              <w:rPr>
                <w:rFonts w:ascii="Arial" w:hAnsi="Arial" w:cs="Arial"/>
                <w:b/>
                <w:sz w:val="20"/>
                <w:szCs w:val="20"/>
                <w:lang w:val="en-GB"/>
              </w:rPr>
              <w:t>tolerance towards gender-based violence</w:t>
            </w:r>
            <w:r w:rsidR="00E50B1D" w:rsidRPr="009B39EC">
              <w:rPr>
                <w:rFonts w:ascii="Arial" w:hAnsi="Arial" w:cs="Arial"/>
                <w:b/>
                <w:sz w:val="20"/>
                <w:szCs w:val="20"/>
                <w:lang w:val="en-GB"/>
              </w:rPr>
              <w:t>.</w:t>
            </w:r>
            <w:r w:rsidR="00E50B1D" w:rsidRPr="009B39EC">
              <w:rPr>
                <w:rFonts w:ascii="Arial" w:hAnsi="Arial" w:cs="Arial"/>
                <w:sz w:val="20"/>
                <w:szCs w:val="20"/>
                <w:lang w:val="en-GB"/>
              </w:rPr>
              <w:t xml:space="preserve"> </w:t>
            </w:r>
          </w:p>
          <w:p w14:paraId="415CD4D7" w14:textId="025F6129" w:rsidR="00E50B1D" w:rsidRPr="009B39EC" w:rsidRDefault="00264A56"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However</w:t>
            </w:r>
            <w:r w:rsidR="00585418" w:rsidRPr="009B39EC">
              <w:rPr>
                <w:rFonts w:ascii="Arial" w:hAnsi="Arial" w:cs="Arial"/>
                <w:sz w:val="20"/>
                <w:szCs w:val="20"/>
                <w:lang w:val="en-GB"/>
              </w:rPr>
              <w:t>, according to the 2018 survey</w:t>
            </w:r>
            <w:r w:rsidR="00E50B1D" w:rsidRPr="009B39EC">
              <w:rPr>
                <w:rFonts w:ascii="Arial" w:hAnsi="Arial" w:cs="Arial"/>
                <w:sz w:val="20"/>
                <w:szCs w:val="20"/>
                <w:lang w:val="en-GB"/>
              </w:rPr>
              <w:t xml:space="preserve">: </w:t>
            </w:r>
            <w:r w:rsidR="00585418" w:rsidRPr="009B39EC">
              <w:rPr>
                <w:rFonts w:ascii="Arial" w:hAnsi="Arial" w:cs="Arial"/>
                <w:sz w:val="20"/>
                <w:szCs w:val="20"/>
                <w:lang w:val="en-GB"/>
              </w:rPr>
              <w:t xml:space="preserve">three out of four women, or </w:t>
            </w:r>
            <w:r w:rsidR="00E50B1D" w:rsidRPr="009B39EC">
              <w:rPr>
                <w:rFonts w:ascii="Arial" w:hAnsi="Arial" w:cs="Arial"/>
                <w:sz w:val="20"/>
                <w:szCs w:val="20"/>
                <w:lang w:val="en-GB"/>
              </w:rPr>
              <w:t>75</w:t>
            </w:r>
            <w:r w:rsidR="00585418" w:rsidRPr="009B39EC">
              <w:rPr>
                <w:rFonts w:ascii="Arial" w:hAnsi="Arial" w:cs="Arial"/>
                <w:sz w:val="20"/>
                <w:szCs w:val="20"/>
                <w:lang w:val="en-GB"/>
              </w:rPr>
              <w:t>.</w:t>
            </w:r>
            <w:r w:rsidR="00E50B1D" w:rsidRPr="009B39EC">
              <w:rPr>
                <w:rFonts w:ascii="Arial" w:hAnsi="Arial" w:cs="Arial"/>
                <w:sz w:val="20"/>
                <w:szCs w:val="20"/>
                <w:lang w:val="en-GB"/>
              </w:rPr>
              <w:t>4</w:t>
            </w:r>
            <w:r w:rsidR="007515B1" w:rsidRPr="009B39EC">
              <w:rPr>
                <w:rFonts w:ascii="Arial" w:hAnsi="Arial" w:cs="Arial"/>
                <w:sz w:val="20"/>
                <w:szCs w:val="20"/>
                <w:lang w:val="en-GB"/>
              </w:rPr>
              <w:t>%</w:t>
            </w:r>
            <w:r w:rsidR="00585418" w:rsidRPr="009B39EC">
              <w:rPr>
                <w:rFonts w:ascii="Arial" w:hAnsi="Arial" w:cs="Arial"/>
                <w:sz w:val="20"/>
                <w:szCs w:val="20"/>
                <w:lang w:val="en-GB"/>
              </w:rPr>
              <w:t xml:space="preserve">, reported that violence against women is a major problem in Albania and </w:t>
            </w:r>
            <w:r w:rsidR="00E50B1D" w:rsidRPr="009B39EC">
              <w:rPr>
                <w:rFonts w:ascii="Arial" w:hAnsi="Arial" w:cs="Arial"/>
                <w:sz w:val="20"/>
                <w:szCs w:val="20"/>
                <w:lang w:val="en-GB"/>
              </w:rPr>
              <w:t>70</w:t>
            </w:r>
            <w:r w:rsidR="00585418" w:rsidRPr="009B39EC">
              <w:rPr>
                <w:rFonts w:ascii="Arial" w:hAnsi="Arial" w:cs="Arial"/>
                <w:sz w:val="20"/>
                <w:szCs w:val="20"/>
                <w:lang w:val="en-GB"/>
              </w:rPr>
              <w:t>.</w:t>
            </w:r>
            <w:r w:rsidR="00E50B1D" w:rsidRPr="009B39EC">
              <w:rPr>
                <w:rFonts w:ascii="Arial" w:hAnsi="Arial" w:cs="Arial"/>
                <w:sz w:val="20"/>
                <w:szCs w:val="20"/>
                <w:lang w:val="en-GB"/>
              </w:rPr>
              <w:t>8</w:t>
            </w:r>
            <w:r w:rsidR="007515B1" w:rsidRPr="009B39EC">
              <w:rPr>
                <w:rFonts w:ascii="Arial" w:hAnsi="Arial" w:cs="Arial"/>
                <w:sz w:val="20"/>
                <w:szCs w:val="20"/>
                <w:lang w:val="en-GB"/>
              </w:rPr>
              <w:t>%</w:t>
            </w:r>
            <w:r w:rsidR="00E50B1D" w:rsidRPr="009B39EC">
              <w:rPr>
                <w:rFonts w:ascii="Arial" w:hAnsi="Arial" w:cs="Arial"/>
                <w:sz w:val="20"/>
                <w:szCs w:val="20"/>
                <w:lang w:val="en-GB"/>
              </w:rPr>
              <w:t xml:space="preserve"> </w:t>
            </w:r>
            <w:r w:rsidR="00585418" w:rsidRPr="009B39EC">
              <w:rPr>
                <w:rFonts w:ascii="Arial" w:hAnsi="Arial" w:cs="Arial"/>
                <w:sz w:val="20"/>
                <w:szCs w:val="20"/>
                <w:lang w:val="en-GB"/>
              </w:rPr>
              <w:t xml:space="preserve">stated that sexual violence against women and girls is a major problem in Albania. In addition, two out of three women, or </w:t>
            </w:r>
            <w:r w:rsidR="00E50B1D" w:rsidRPr="009B39EC">
              <w:rPr>
                <w:rFonts w:ascii="Arial" w:hAnsi="Arial" w:cs="Arial"/>
                <w:sz w:val="20"/>
                <w:szCs w:val="20"/>
                <w:lang w:val="en-GB"/>
              </w:rPr>
              <w:t>69</w:t>
            </w:r>
            <w:r w:rsidR="00585418" w:rsidRPr="009B39EC">
              <w:rPr>
                <w:rFonts w:ascii="Arial" w:hAnsi="Arial" w:cs="Arial"/>
                <w:sz w:val="20"/>
                <w:szCs w:val="20"/>
                <w:lang w:val="en-GB"/>
              </w:rPr>
              <w:t>.</w:t>
            </w:r>
            <w:r w:rsidR="00E50B1D" w:rsidRPr="009B39EC">
              <w:rPr>
                <w:rFonts w:ascii="Arial" w:hAnsi="Arial" w:cs="Arial"/>
                <w:sz w:val="20"/>
                <w:szCs w:val="20"/>
                <w:lang w:val="en-GB"/>
              </w:rPr>
              <w:t>9</w:t>
            </w:r>
            <w:r w:rsidR="007515B1" w:rsidRPr="009B39EC">
              <w:rPr>
                <w:rFonts w:ascii="Arial" w:hAnsi="Arial" w:cs="Arial"/>
                <w:sz w:val="20"/>
                <w:szCs w:val="20"/>
                <w:lang w:val="en-GB"/>
              </w:rPr>
              <w:t>%</w:t>
            </w:r>
            <w:r w:rsidR="007507CB" w:rsidRPr="009B39EC">
              <w:rPr>
                <w:rFonts w:ascii="Arial" w:hAnsi="Arial" w:cs="Arial"/>
                <w:sz w:val="20"/>
                <w:szCs w:val="20"/>
                <w:lang w:val="en-GB"/>
              </w:rPr>
              <w:t>,</w:t>
            </w:r>
            <w:r w:rsidR="00585418" w:rsidRPr="009B39EC">
              <w:rPr>
                <w:rFonts w:ascii="Arial" w:hAnsi="Arial" w:cs="Arial"/>
                <w:sz w:val="20"/>
                <w:szCs w:val="20"/>
                <w:lang w:val="en-GB"/>
              </w:rPr>
              <w:t xml:space="preserve"> reported that sexual harassment of women and girls is a major problem in </w:t>
            </w:r>
            <w:r w:rsidR="00C91B33" w:rsidRPr="009B39EC">
              <w:rPr>
                <w:rFonts w:ascii="Arial" w:hAnsi="Arial" w:cs="Arial"/>
                <w:sz w:val="20"/>
                <w:szCs w:val="20"/>
                <w:lang w:val="en-GB"/>
              </w:rPr>
              <w:t>Albania</w:t>
            </w:r>
            <w:r w:rsidR="00585418" w:rsidRPr="009B39EC">
              <w:rPr>
                <w:rFonts w:ascii="Arial" w:hAnsi="Arial" w:cs="Arial"/>
                <w:sz w:val="20"/>
                <w:szCs w:val="20"/>
                <w:lang w:val="en-GB"/>
              </w:rPr>
              <w:t xml:space="preserve"> and two out of three women, or </w:t>
            </w:r>
            <w:r w:rsidR="00E50B1D" w:rsidRPr="009B39EC">
              <w:rPr>
                <w:rFonts w:ascii="Arial" w:hAnsi="Arial" w:cs="Arial"/>
                <w:sz w:val="20"/>
                <w:szCs w:val="20"/>
                <w:lang w:val="en-GB"/>
              </w:rPr>
              <w:t>68.4</w:t>
            </w:r>
            <w:r w:rsidR="007515B1" w:rsidRPr="009B39EC">
              <w:rPr>
                <w:rFonts w:ascii="Arial" w:hAnsi="Arial" w:cs="Arial"/>
                <w:sz w:val="20"/>
                <w:szCs w:val="20"/>
                <w:lang w:val="en-GB"/>
              </w:rPr>
              <w:t>%</w:t>
            </w:r>
            <w:r w:rsidR="007507CB" w:rsidRPr="009B39EC">
              <w:rPr>
                <w:rFonts w:ascii="Arial" w:hAnsi="Arial" w:cs="Arial"/>
                <w:sz w:val="20"/>
                <w:szCs w:val="20"/>
                <w:lang w:val="en-GB"/>
              </w:rPr>
              <w:t>,</w:t>
            </w:r>
            <w:r w:rsidR="00E50B1D" w:rsidRPr="009B39EC">
              <w:rPr>
                <w:rFonts w:ascii="Arial" w:hAnsi="Arial" w:cs="Arial"/>
                <w:sz w:val="20"/>
                <w:szCs w:val="20"/>
                <w:lang w:val="en-GB"/>
              </w:rPr>
              <w:t xml:space="preserve"> </w:t>
            </w:r>
            <w:r w:rsidR="007507CB" w:rsidRPr="009B39EC">
              <w:rPr>
                <w:rFonts w:ascii="Arial" w:hAnsi="Arial" w:cs="Arial"/>
                <w:sz w:val="20"/>
                <w:szCs w:val="20"/>
                <w:lang w:val="en-GB"/>
              </w:rPr>
              <w:t>stated</w:t>
            </w:r>
            <w:r w:rsidR="00585418" w:rsidRPr="009B39EC">
              <w:rPr>
                <w:rFonts w:ascii="Arial" w:hAnsi="Arial" w:cs="Arial"/>
                <w:sz w:val="20"/>
                <w:szCs w:val="20"/>
                <w:lang w:val="en-GB"/>
              </w:rPr>
              <w:t xml:space="preserve"> that the stalking of women is a major problem in Albania. </w:t>
            </w:r>
            <w:r w:rsidR="00E50B1D" w:rsidRPr="009B39EC">
              <w:rPr>
                <w:rFonts w:ascii="Arial" w:hAnsi="Arial" w:cs="Arial"/>
                <w:sz w:val="20"/>
                <w:szCs w:val="20"/>
                <w:lang w:val="en-GB"/>
              </w:rPr>
              <w:t>83</w:t>
            </w:r>
            <w:r w:rsidR="007515B1" w:rsidRPr="009B39EC">
              <w:rPr>
                <w:rFonts w:ascii="Arial" w:hAnsi="Arial" w:cs="Arial"/>
                <w:sz w:val="20"/>
                <w:szCs w:val="20"/>
                <w:lang w:val="en-GB"/>
              </w:rPr>
              <w:t>%</w:t>
            </w:r>
            <w:r w:rsidR="00E50B1D" w:rsidRPr="009B39EC">
              <w:rPr>
                <w:rFonts w:ascii="Arial" w:hAnsi="Arial" w:cs="Arial"/>
                <w:sz w:val="20"/>
                <w:szCs w:val="20"/>
                <w:lang w:val="en-GB"/>
              </w:rPr>
              <w:t xml:space="preserve"> </w:t>
            </w:r>
            <w:r w:rsidR="00585418" w:rsidRPr="009B39EC">
              <w:rPr>
                <w:rFonts w:ascii="Arial" w:hAnsi="Arial" w:cs="Arial"/>
                <w:sz w:val="20"/>
                <w:szCs w:val="20"/>
                <w:lang w:val="en-GB"/>
              </w:rPr>
              <w:t>of women aged</w:t>
            </w:r>
            <w:r w:rsidR="00E50B1D" w:rsidRPr="009B39EC">
              <w:rPr>
                <w:rFonts w:ascii="Arial" w:hAnsi="Arial" w:cs="Arial"/>
                <w:sz w:val="20"/>
                <w:szCs w:val="20"/>
                <w:lang w:val="en-GB"/>
              </w:rPr>
              <w:t xml:space="preserve"> 18-74 </w:t>
            </w:r>
            <w:r w:rsidR="00C91B33" w:rsidRPr="009B39EC">
              <w:rPr>
                <w:rFonts w:ascii="Arial" w:hAnsi="Arial" w:cs="Arial"/>
                <w:sz w:val="20"/>
                <w:szCs w:val="20"/>
                <w:lang w:val="en-GB"/>
              </w:rPr>
              <w:t>believed</w:t>
            </w:r>
            <w:r w:rsidR="00585418" w:rsidRPr="009B39EC">
              <w:rPr>
                <w:rFonts w:ascii="Arial" w:hAnsi="Arial" w:cs="Arial"/>
                <w:sz w:val="20"/>
                <w:szCs w:val="20"/>
                <w:lang w:val="en-GB"/>
              </w:rPr>
              <w:t xml:space="preserve"> it is very important for Albania to have laws that protect women from violence within</w:t>
            </w:r>
            <w:r w:rsidR="007507CB" w:rsidRPr="009B39EC">
              <w:rPr>
                <w:rFonts w:ascii="Arial" w:hAnsi="Arial" w:cs="Arial"/>
                <w:sz w:val="20"/>
                <w:szCs w:val="20"/>
                <w:lang w:val="en-GB"/>
              </w:rPr>
              <w:t xml:space="preserve"> the</w:t>
            </w:r>
            <w:r w:rsidR="00585418" w:rsidRPr="009B39EC">
              <w:rPr>
                <w:rFonts w:ascii="Arial" w:hAnsi="Arial" w:cs="Arial"/>
                <w:sz w:val="20"/>
                <w:szCs w:val="20"/>
                <w:lang w:val="en-GB"/>
              </w:rPr>
              <w:t xml:space="preserve"> marriage or in their family and</w:t>
            </w:r>
            <w:r w:rsidR="00E50B1D" w:rsidRPr="009B39EC">
              <w:rPr>
                <w:rFonts w:ascii="Arial" w:hAnsi="Arial" w:cs="Arial"/>
                <w:sz w:val="20"/>
                <w:szCs w:val="20"/>
                <w:lang w:val="en-GB"/>
              </w:rPr>
              <w:t xml:space="preserve"> 81</w:t>
            </w:r>
            <w:r w:rsidR="00585418" w:rsidRPr="009B39EC">
              <w:rPr>
                <w:rFonts w:ascii="Arial" w:hAnsi="Arial" w:cs="Arial"/>
                <w:sz w:val="20"/>
                <w:szCs w:val="20"/>
                <w:lang w:val="en-GB"/>
              </w:rPr>
              <w:t>.</w:t>
            </w:r>
            <w:r w:rsidR="00E50B1D" w:rsidRPr="009B39EC">
              <w:rPr>
                <w:rFonts w:ascii="Arial" w:hAnsi="Arial" w:cs="Arial"/>
                <w:sz w:val="20"/>
                <w:szCs w:val="20"/>
                <w:lang w:val="en-GB"/>
              </w:rPr>
              <w:t>9</w:t>
            </w:r>
            <w:r w:rsidR="007515B1" w:rsidRPr="009B39EC">
              <w:rPr>
                <w:rFonts w:ascii="Arial" w:hAnsi="Arial" w:cs="Arial"/>
                <w:sz w:val="20"/>
                <w:szCs w:val="20"/>
                <w:lang w:val="en-GB"/>
              </w:rPr>
              <w:t>%</w:t>
            </w:r>
            <w:r w:rsidR="00E50B1D" w:rsidRPr="009B39EC">
              <w:rPr>
                <w:rFonts w:ascii="Arial" w:hAnsi="Arial" w:cs="Arial"/>
                <w:sz w:val="20"/>
                <w:szCs w:val="20"/>
                <w:lang w:val="en-GB"/>
              </w:rPr>
              <w:t xml:space="preserve"> </w:t>
            </w:r>
            <w:r w:rsidR="00585418" w:rsidRPr="009B39EC">
              <w:rPr>
                <w:rFonts w:ascii="Arial" w:hAnsi="Arial" w:cs="Arial"/>
                <w:sz w:val="20"/>
                <w:szCs w:val="20"/>
                <w:lang w:val="en-GB"/>
              </w:rPr>
              <w:t>stated that it is very important for Albania to have laws protecting women and girls from sexual assaults and rape</w:t>
            </w:r>
            <w:r w:rsidR="00E50B1D" w:rsidRPr="009B39EC">
              <w:rPr>
                <w:rFonts w:ascii="Arial" w:hAnsi="Arial" w:cs="Arial"/>
                <w:sz w:val="20"/>
                <w:szCs w:val="20"/>
                <w:lang w:val="en-GB"/>
              </w:rPr>
              <w:t>.</w:t>
            </w:r>
          </w:p>
          <w:p w14:paraId="215E114D" w14:textId="63FC69C1" w:rsidR="00E50B1D" w:rsidRPr="009B39EC" w:rsidRDefault="0010175A"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It can be concluded from the above that the number of individuals in our society who believe that gender-based violence and domestic violence are unacceptable and should not be tolerated, has increased by nearly </w:t>
            </w:r>
            <w:r w:rsidR="00E50B1D" w:rsidRPr="009B39EC">
              <w:rPr>
                <w:rFonts w:ascii="Arial" w:hAnsi="Arial" w:cs="Arial"/>
                <w:sz w:val="20"/>
                <w:szCs w:val="20"/>
                <w:lang w:val="en-GB" w:eastAsia="sq-AL"/>
              </w:rPr>
              <w:t>30</w:t>
            </w:r>
            <w:r w:rsidR="007515B1" w:rsidRPr="009B39EC">
              <w:rPr>
                <w:rFonts w:ascii="Arial" w:hAnsi="Arial" w:cs="Arial"/>
                <w:sz w:val="20"/>
                <w:szCs w:val="20"/>
                <w:lang w:val="en-GB" w:eastAsia="sq-AL"/>
              </w:rPr>
              <w:t>%</w:t>
            </w:r>
            <w:r w:rsidR="00E50B1D" w:rsidRPr="009B39EC">
              <w:rPr>
                <w:rFonts w:ascii="Arial" w:hAnsi="Arial" w:cs="Arial"/>
                <w:sz w:val="20"/>
                <w:szCs w:val="20"/>
                <w:lang w:val="en-GB" w:eastAsia="sq-AL"/>
              </w:rPr>
              <w:t>.</w:t>
            </w:r>
          </w:p>
        </w:tc>
      </w:tr>
      <w:tr w:rsidR="00E50B1D" w:rsidRPr="009B39EC" w14:paraId="20234CC2" w14:textId="77777777" w:rsidTr="00E50B1D">
        <w:tc>
          <w:tcPr>
            <w:tcW w:w="8995" w:type="dxa"/>
            <w:gridSpan w:val="2"/>
            <w:shd w:val="clear" w:color="auto" w:fill="FBE4D5" w:themeFill="accent2" w:themeFillTint="33"/>
          </w:tcPr>
          <w:p w14:paraId="6367CCA9" w14:textId="3D8A122D" w:rsidR="00E50B1D" w:rsidRPr="009B39EC" w:rsidRDefault="00127B55" w:rsidP="00E50B1D">
            <w:pPr>
              <w:spacing w:after="0" w:line="240" w:lineRule="auto"/>
              <w:jc w:val="both"/>
              <w:rPr>
                <w:rFonts w:ascii="Arial" w:hAnsi="Arial" w:cs="Arial"/>
                <w:b/>
                <w:sz w:val="20"/>
                <w:szCs w:val="20"/>
                <w:lang w:val="en-GB"/>
              </w:rPr>
            </w:pPr>
            <w:r w:rsidRPr="009B39EC">
              <w:rPr>
                <w:rFonts w:ascii="Arial" w:hAnsi="Arial" w:cs="Arial"/>
                <w:b/>
                <w:sz w:val="20"/>
                <w:szCs w:val="20"/>
                <w:u w:val="single"/>
                <w:lang w:val="en-GB"/>
              </w:rPr>
              <w:t>Specific objective</w:t>
            </w:r>
            <w:r w:rsidR="0000741E" w:rsidRPr="009B39EC">
              <w:rPr>
                <w:rFonts w:ascii="Arial" w:hAnsi="Arial" w:cs="Arial"/>
                <w:b/>
                <w:sz w:val="20"/>
                <w:szCs w:val="20"/>
                <w:u w:val="single"/>
                <w:lang w:val="en-GB"/>
              </w:rPr>
              <w:t xml:space="preserve"> </w:t>
            </w:r>
            <w:r w:rsidR="00E50B1D" w:rsidRPr="009B39EC">
              <w:rPr>
                <w:rFonts w:ascii="Arial" w:hAnsi="Arial" w:cs="Arial"/>
                <w:b/>
                <w:sz w:val="20"/>
                <w:szCs w:val="20"/>
                <w:u w:val="single"/>
                <w:lang w:val="en-GB"/>
              </w:rPr>
              <w:t>3.2</w:t>
            </w:r>
            <w:r w:rsidR="00E50B1D" w:rsidRPr="009B39EC">
              <w:rPr>
                <w:rFonts w:ascii="Arial" w:hAnsi="Arial" w:cs="Arial"/>
                <w:b/>
                <w:sz w:val="20"/>
                <w:szCs w:val="20"/>
                <w:lang w:val="en-GB"/>
              </w:rPr>
              <w:t xml:space="preserve">: </w:t>
            </w:r>
            <w:r w:rsidR="0010175A" w:rsidRPr="009B39EC">
              <w:rPr>
                <w:rFonts w:ascii="Arial" w:hAnsi="Arial" w:cs="Arial"/>
                <w:b/>
                <w:sz w:val="20"/>
                <w:szCs w:val="20"/>
                <w:lang w:val="en-GB"/>
              </w:rPr>
              <w:t xml:space="preserve">Strengthening referral mechanisms and increasing/improving specialised support services for protecting and addressing gender-based violence and domestic </w:t>
            </w:r>
            <w:r w:rsidR="00C91B33" w:rsidRPr="009B39EC">
              <w:rPr>
                <w:rFonts w:ascii="Arial" w:hAnsi="Arial" w:cs="Arial"/>
                <w:b/>
                <w:sz w:val="20"/>
                <w:szCs w:val="20"/>
                <w:lang w:val="en-GB"/>
              </w:rPr>
              <w:t>violence</w:t>
            </w:r>
            <w:r w:rsidR="00E50B1D" w:rsidRPr="009B39EC">
              <w:rPr>
                <w:rFonts w:ascii="Arial" w:hAnsi="Arial" w:cs="Arial"/>
                <w:b/>
                <w:sz w:val="20"/>
                <w:szCs w:val="20"/>
                <w:lang w:val="en-GB"/>
              </w:rPr>
              <w:t>.</w:t>
            </w:r>
          </w:p>
        </w:tc>
      </w:tr>
      <w:tr w:rsidR="00E50B1D" w:rsidRPr="009B39EC" w14:paraId="2CA1C707" w14:textId="77777777" w:rsidTr="00E50B1D">
        <w:tc>
          <w:tcPr>
            <w:tcW w:w="8995" w:type="dxa"/>
            <w:gridSpan w:val="2"/>
            <w:shd w:val="clear" w:color="auto" w:fill="FBE4D5" w:themeFill="accent2" w:themeFillTint="33"/>
          </w:tcPr>
          <w:p w14:paraId="05446E65" w14:textId="004F4F28" w:rsidR="00E50B1D" w:rsidRPr="009B39EC" w:rsidRDefault="00585418" w:rsidP="00E50B1D">
            <w:pPr>
              <w:spacing w:after="0" w:line="240" w:lineRule="auto"/>
              <w:rPr>
                <w:rFonts w:ascii="Arial" w:eastAsia="Times New Roman" w:hAnsi="Arial" w:cs="Arial"/>
                <w:b/>
                <w:iCs/>
                <w:sz w:val="20"/>
                <w:szCs w:val="20"/>
                <w:u w:val="single"/>
                <w:lang w:val="en-GB"/>
              </w:rPr>
            </w:pPr>
            <w:r w:rsidRPr="009B39EC">
              <w:rPr>
                <w:rFonts w:ascii="Arial" w:eastAsia="Times New Roman" w:hAnsi="Arial" w:cs="Arial"/>
                <w:b/>
                <w:iCs/>
                <w:sz w:val="20"/>
                <w:szCs w:val="20"/>
                <w:u w:val="single"/>
                <w:lang w:val="en-GB"/>
              </w:rPr>
              <w:t>Objective indicators</w:t>
            </w:r>
            <w:r w:rsidR="00E50B1D" w:rsidRPr="009B39EC">
              <w:rPr>
                <w:rFonts w:ascii="Arial" w:eastAsia="Times New Roman" w:hAnsi="Arial" w:cs="Arial"/>
                <w:b/>
                <w:iCs/>
                <w:sz w:val="20"/>
                <w:szCs w:val="20"/>
                <w:u w:val="single"/>
                <w:lang w:val="en-GB"/>
              </w:rPr>
              <w:t xml:space="preserve">: </w:t>
            </w:r>
          </w:p>
          <w:p w14:paraId="3776A192" w14:textId="5EBF7F44" w:rsidR="0010175A" w:rsidRPr="009B39EC" w:rsidRDefault="00E50B1D" w:rsidP="0010175A">
            <w:pPr>
              <w:rPr>
                <w:rFonts w:ascii="Arial" w:hAnsi="Arial" w:cs="Arial"/>
                <w:sz w:val="20"/>
                <w:szCs w:val="20"/>
                <w:lang w:val="en-GB" w:eastAsia="sq-AL"/>
              </w:rPr>
            </w:pPr>
            <w:r w:rsidRPr="009B39EC">
              <w:rPr>
                <w:rFonts w:ascii="Arial" w:eastAsia="Times New Roman" w:hAnsi="Arial" w:cs="Arial"/>
                <w:i/>
                <w:iCs/>
                <w:sz w:val="20"/>
                <w:szCs w:val="20"/>
                <w:lang w:val="en-GB"/>
              </w:rPr>
              <w:lastRenderedPageBreak/>
              <w:t xml:space="preserve">(i) </w:t>
            </w:r>
            <w:r w:rsidR="0010175A" w:rsidRPr="009B39EC">
              <w:rPr>
                <w:rFonts w:ascii="Arial" w:eastAsia="Times New Roman" w:hAnsi="Arial" w:cs="Arial"/>
                <w:i/>
                <w:iCs/>
                <w:sz w:val="20"/>
                <w:szCs w:val="20"/>
                <w:lang w:val="en-GB"/>
              </w:rPr>
              <w:t xml:space="preserve">By the end of </w:t>
            </w:r>
            <w:r w:rsidRPr="009B39EC">
              <w:rPr>
                <w:rFonts w:ascii="Arial" w:eastAsia="Times New Roman" w:hAnsi="Arial" w:cs="Arial"/>
                <w:i/>
                <w:iCs/>
                <w:sz w:val="20"/>
                <w:szCs w:val="20"/>
                <w:lang w:val="en-GB"/>
              </w:rPr>
              <w:t>2020</w:t>
            </w:r>
            <w:r w:rsidRPr="009B39EC">
              <w:rPr>
                <w:rFonts w:ascii="Arial" w:hAnsi="Arial" w:cs="Arial"/>
                <w:sz w:val="20"/>
                <w:szCs w:val="20"/>
                <w:lang w:val="en-GB" w:eastAsia="sq-AL"/>
              </w:rPr>
              <w:t xml:space="preserve">, </w:t>
            </w:r>
            <w:r w:rsidR="0010175A" w:rsidRPr="009B39EC">
              <w:rPr>
                <w:rFonts w:ascii="Arial" w:hAnsi="Arial" w:cs="Arial"/>
                <w:sz w:val="20"/>
                <w:szCs w:val="20"/>
                <w:lang w:val="en-GB" w:eastAsia="sq-AL"/>
              </w:rPr>
              <w:t>the number of municipalities w</w:t>
            </w:r>
            <w:r w:rsidR="00BF38B8" w:rsidRPr="009B39EC">
              <w:rPr>
                <w:rFonts w:ascii="Arial" w:hAnsi="Arial" w:cs="Arial"/>
                <w:sz w:val="20"/>
                <w:szCs w:val="20"/>
                <w:lang w:val="en-GB" w:eastAsia="sq-AL"/>
              </w:rPr>
              <w:t xml:space="preserve">ith established and functioning </w:t>
            </w:r>
            <w:r w:rsidR="0010175A" w:rsidRPr="009B39EC">
              <w:rPr>
                <w:rFonts w:ascii="Arial" w:hAnsi="Arial" w:cs="Arial"/>
                <w:sz w:val="20"/>
                <w:szCs w:val="20"/>
                <w:lang w:val="en-GB" w:eastAsia="sq-AL"/>
              </w:rPr>
              <w:t xml:space="preserve">Referral Mechanisms </w:t>
            </w:r>
            <w:r w:rsidR="00BF38B8" w:rsidRPr="009B39EC">
              <w:rPr>
                <w:rFonts w:ascii="Arial" w:hAnsi="Arial" w:cs="Arial"/>
                <w:sz w:val="20"/>
                <w:szCs w:val="20"/>
                <w:lang w:val="en-GB" w:eastAsia="sq-AL"/>
              </w:rPr>
              <w:t>shall have increased</w:t>
            </w:r>
            <w:r w:rsidR="0010175A" w:rsidRPr="009B39EC">
              <w:rPr>
                <w:rFonts w:ascii="Arial" w:hAnsi="Arial" w:cs="Arial"/>
                <w:sz w:val="20"/>
                <w:szCs w:val="20"/>
                <w:lang w:val="en-GB" w:eastAsia="sq-AL"/>
              </w:rPr>
              <w:t xml:space="preserve"> by 52.5</w:t>
            </w:r>
            <w:r w:rsidR="007515B1" w:rsidRPr="009B39EC">
              <w:rPr>
                <w:rFonts w:ascii="Arial" w:hAnsi="Arial" w:cs="Arial"/>
                <w:sz w:val="20"/>
                <w:szCs w:val="20"/>
                <w:lang w:val="en-GB" w:eastAsia="sq-AL"/>
              </w:rPr>
              <w:t>%</w:t>
            </w:r>
            <w:r w:rsidR="0010175A" w:rsidRPr="009B39EC">
              <w:rPr>
                <w:rFonts w:ascii="Arial" w:hAnsi="Arial" w:cs="Arial"/>
                <w:sz w:val="20"/>
                <w:szCs w:val="20"/>
                <w:lang w:val="en-GB" w:eastAsia="sq-AL"/>
              </w:rPr>
              <w:t xml:space="preserve"> (</w:t>
            </w:r>
            <w:r w:rsidR="00C91B33" w:rsidRPr="009B39EC">
              <w:rPr>
                <w:rFonts w:ascii="Arial" w:hAnsi="Arial" w:cs="Arial"/>
                <w:sz w:val="20"/>
                <w:szCs w:val="20"/>
                <w:lang w:val="en-GB" w:eastAsia="sq-AL"/>
              </w:rPr>
              <w:t>i.e.,</w:t>
            </w:r>
            <w:r w:rsidR="0010175A" w:rsidRPr="009B39EC">
              <w:rPr>
                <w:rFonts w:ascii="Arial" w:hAnsi="Arial" w:cs="Arial"/>
                <w:sz w:val="20"/>
                <w:szCs w:val="20"/>
                <w:lang w:val="en-GB" w:eastAsia="sq-AL"/>
              </w:rPr>
              <w:t xml:space="preserve"> </w:t>
            </w:r>
            <w:r w:rsidR="00BF38B8" w:rsidRPr="009B39EC">
              <w:rPr>
                <w:rFonts w:ascii="Arial" w:hAnsi="Arial" w:cs="Arial"/>
                <w:sz w:val="20"/>
                <w:szCs w:val="20"/>
                <w:lang w:val="en-GB" w:eastAsia="sq-AL"/>
              </w:rPr>
              <w:t>from</w:t>
            </w:r>
            <w:r w:rsidR="0010175A" w:rsidRPr="009B39EC">
              <w:rPr>
                <w:rFonts w:ascii="Arial" w:hAnsi="Arial" w:cs="Arial"/>
                <w:sz w:val="20"/>
                <w:szCs w:val="20"/>
                <w:lang w:val="en-GB" w:eastAsia="sq-AL"/>
              </w:rPr>
              <w:t xml:space="preserve"> 29 municipalities w</w:t>
            </w:r>
            <w:r w:rsidR="00BF38B8" w:rsidRPr="009B39EC">
              <w:rPr>
                <w:rFonts w:ascii="Arial" w:hAnsi="Arial" w:cs="Arial"/>
                <w:sz w:val="20"/>
                <w:szCs w:val="20"/>
                <w:lang w:val="en-GB" w:eastAsia="sq-AL"/>
              </w:rPr>
              <w:t xml:space="preserve">ith established </w:t>
            </w:r>
            <w:r w:rsidR="0010175A" w:rsidRPr="009B39EC">
              <w:rPr>
                <w:rFonts w:ascii="Arial" w:hAnsi="Arial" w:cs="Arial"/>
                <w:sz w:val="20"/>
                <w:szCs w:val="20"/>
                <w:lang w:val="en-GB" w:eastAsia="sq-AL"/>
              </w:rPr>
              <w:t>referral mechanism i</w:t>
            </w:r>
            <w:r w:rsidR="00BF38B8" w:rsidRPr="009B39EC">
              <w:rPr>
                <w:rFonts w:ascii="Arial" w:hAnsi="Arial" w:cs="Arial"/>
                <w:sz w:val="20"/>
                <w:szCs w:val="20"/>
                <w:lang w:val="en-GB" w:eastAsia="sq-AL"/>
              </w:rPr>
              <w:t>n place in</w:t>
            </w:r>
            <w:r w:rsidR="0010175A" w:rsidRPr="009B39EC">
              <w:rPr>
                <w:rFonts w:ascii="Arial" w:hAnsi="Arial" w:cs="Arial"/>
                <w:sz w:val="20"/>
                <w:szCs w:val="20"/>
                <w:lang w:val="en-GB" w:eastAsia="sq-AL"/>
              </w:rPr>
              <w:t xml:space="preserve"> 2015</w:t>
            </w:r>
            <w:r w:rsidR="00BF38B8" w:rsidRPr="009B39EC">
              <w:rPr>
                <w:rFonts w:ascii="Arial" w:hAnsi="Arial" w:cs="Arial"/>
                <w:sz w:val="20"/>
                <w:szCs w:val="20"/>
                <w:lang w:val="en-GB" w:eastAsia="sq-AL"/>
              </w:rPr>
              <w:t xml:space="preserve">, to </w:t>
            </w:r>
            <w:r w:rsidR="0010175A" w:rsidRPr="009B39EC">
              <w:rPr>
                <w:rFonts w:ascii="Arial" w:hAnsi="Arial" w:cs="Arial"/>
                <w:sz w:val="20"/>
                <w:szCs w:val="20"/>
                <w:lang w:val="en-GB" w:eastAsia="sq-AL"/>
              </w:rPr>
              <w:t>61 by the end of 2020):</w:t>
            </w:r>
          </w:p>
          <w:p w14:paraId="4F8B434D" w14:textId="68B1AA46" w:rsidR="00E50B1D" w:rsidRPr="009B39EC" w:rsidRDefault="00C91B33" w:rsidP="00E50B1D">
            <w:pPr>
              <w:spacing w:after="0" w:line="240" w:lineRule="auto"/>
              <w:jc w:val="both"/>
              <w:rPr>
                <w:rFonts w:ascii="Arial" w:hAnsi="Arial" w:cs="Arial"/>
                <w:b/>
                <w:sz w:val="20"/>
                <w:szCs w:val="20"/>
                <w:lang w:val="en-GB"/>
              </w:rPr>
            </w:pPr>
            <w:r w:rsidRPr="009B39EC">
              <w:rPr>
                <w:rFonts w:ascii="Arial" w:hAnsi="Arial" w:cs="Arial"/>
                <w:sz w:val="20"/>
                <w:szCs w:val="20"/>
                <w:lang w:val="en-GB" w:eastAsia="sq-AL"/>
              </w:rPr>
              <w:t>(ii) By the end of 2020, the number of specialised support services shall have increased by 53.8</w:t>
            </w:r>
            <w:r w:rsidR="007515B1" w:rsidRPr="009B39EC">
              <w:rPr>
                <w:rFonts w:ascii="Arial" w:hAnsi="Arial" w:cs="Arial"/>
                <w:sz w:val="20"/>
                <w:szCs w:val="20"/>
                <w:lang w:val="en-GB" w:eastAsia="sq-AL"/>
              </w:rPr>
              <w:t>%</w:t>
            </w:r>
            <w:r w:rsidRPr="009B39EC">
              <w:rPr>
                <w:rFonts w:ascii="Arial" w:hAnsi="Arial" w:cs="Arial"/>
                <w:sz w:val="20"/>
                <w:szCs w:val="20"/>
                <w:lang w:val="en-GB" w:eastAsia="sq-AL"/>
              </w:rPr>
              <w:t xml:space="preserve"> (i.e., from 13 specialised support services in 2015 to 20 specialised support services by the end of 2020).</w:t>
            </w:r>
          </w:p>
        </w:tc>
      </w:tr>
      <w:tr w:rsidR="00E50B1D" w:rsidRPr="009B39EC" w14:paraId="624F72B6" w14:textId="77777777" w:rsidTr="00D575F2">
        <w:tc>
          <w:tcPr>
            <w:tcW w:w="8995" w:type="dxa"/>
            <w:gridSpan w:val="2"/>
            <w:shd w:val="clear" w:color="auto" w:fill="EDEDED" w:themeFill="accent3" w:themeFillTint="33"/>
          </w:tcPr>
          <w:p w14:paraId="555D1A27" w14:textId="5C0AC293" w:rsidR="00E50B1D" w:rsidRPr="009B39EC" w:rsidRDefault="007515B1" w:rsidP="00E50B1D">
            <w:pPr>
              <w:spacing w:after="0" w:line="240" w:lineRule="auto"/>
              <w:jc w:val="both"/>
              <w:rPr>
                <w:rFonts w:ascii="Arial" w:eastAsia="Times New Roman" w:hAnsi="Arial" w:cs="Arial"/>
                <w:b/>
                <w:i/>
                <w:iCs/>
                <w:sz w:val="20"/>
                <w:szCs w:val="20"/>
                <w:lang w:val="en-GB"/>
              </w:rPr>
            </w:pPr>
            <w:r w:rsidRPr="009B39EC">
              <w:rPr>
                <w:rFonts w:ascii="Arial" w:eastAsia="Times New Roman" w:hAnsi="Arial" w:cs="Arial"/>
                <w:b/>
                <w:i/>
                <w:iCs/>
                <w:sz w:val="20"/>
                <w:szCs w:val="20"/>
                <w:u w:val="single"/>
                <w:lang w:val="en-GB"/>
              </w:rPr>
              <w:lastRenderedPageBreak/>
              <w:t>Realisation of the objective</w:t>
            </w:r>
            <w:r w:rsidR="00E50B1D" w:rsidRPr="009B39EC">
              <w:rPr>
                <w:rFonts w:ascii="Arial" w:eastAsia="Times New Roman" w:hAnsi="Arial" w:cs="Arial"/>
                <w:b/>
                <w:i/>
                <w:iCs/>
                <w:sz w:val="20"/>
                <w:szCs w:val="20"/>
                <w:u w:val="single"/>
                <w:lang w:val="en-GB"/>
              </w:rPr>
              <w:t>:</w:t>
            </w:r>
            <w:r w:rsidR="00E50B1D" w:rsidRPr="009B39EC">
              <w:rPr>
                <w:rFonts w:ascii="Arial" w:eastAsia="Times New Roman" w:hAnsi="Arial" w:cs="Arial"/>
                <w:b/>
                <w:i/>
                <w:iCs/>
                <w:sz w:val="20"/>
                <w:szCs w:val="20"/>
                <w:lang w:val="en-GB"/>
              </w:rPr>
              <w:t xml:space="preserve">  </w:t>
            </w:r>
            <w:r w:rsidR="006D66D8" w:rsidRPr="009B39EC">
              <w:rPr>
                <w:rFonts w:ascii="Arial" w:eastAsia="Times New Roman" w:hAnsi="Arial" w:cs="Arial"/>
                <w:b/>
                <w:iCs/>
                <w:color w:val="ED7D31" w:themeColor="accent2"/>
                <w:sz w:val="20"/>
                <w:szCs w:val="20"/>
                <w:lang w:val="en-GB"/>
              </w:rPr>
              <w:t>NEARLY</w:t>
            </w:r>
            <w:r w:rsidR="00E50B1D" w:rsidRPr="009B39EC">
              <w:rPr>
                <w:rFonts w:ascii="Arial" w:eastAsia="Times New Roman" w:hAnsi="Arial" w:cs="Arial"/>
                <w:b/>
                <w:iCs/>
                <w:color w:val="ED7D31" w:themeColor="accent2"/>
                <w:sz w:val="20"/>
                <w:szCs w:val="20"/>
                <w:lang w:val="en-GB"/>
              </w:rPr>
              <w:t xml:space="preserve"> </w:t>
            </w:r>
            <w:r w:rsidR="006D66D8" w:rsidRPr="009B39EC">
              <w:rPr>
                <w:rFonts w:ascii="Arial" w:eastAsia="Times New Roman" w:hAnsi="Arial" w:cs="Arial"/>
                <w:b/>
                <w:iCs/>
                <w:color w:val="ED7D31" w:themeColor="accent2"/>
                <w:sz w:val="20"/>
                <w:szCs w:val="20"/>
                <w:lang w:val="en-GB"/>
              </w:rPr>
              <w:t>FULLY</w:t>
            </w:r>
            <w:r w:rsidR="00E50B1D" w:rsidRPr="009B39EC">
              <w:rPr>
                <w:rFonts w:ascii="Arial" w:eastAsia="Times New Roman" w:hAnsi="Arial" w:cs="Arial"/>
                <w:b/>
                <w:iCs/>
                <w:color w:val="ED7D31" w:themeColor="accent2"/>
                <w:sz w:val="20"/>
                <w:szCs w:val="20"/>
                <w:lang w:val="en-GB"/>
              </w:rPr>
              <w:t xml:space="preserve"> </w:t>
            </w:r>
            <w:r w:rsidR="00A72B1D" w:rsidRPr="009B39EC">
              <w:rPr>
                <w:rFonts w:ascii="Arial" w:eastAsia="Times New Roman" w:hAnsi="Arial" w:cs="Arial"/>
                <w:b/>
                <w:iCs/>
                <w:color w:val="ED7D31" w:themeColor="accent2"/>
                <w:sz w:val="20"/>
                <w:szCs w:val="20"/>
                <w:lang w:val="en-GB"/>
              </w:rPr>
              <w:t xml:space="preserve">REALISED </w:t>
            </w:r>
            <w:r w:rsidR="00E50B1D" w:rsidRPr="009B39EC">
              <w:rPr>
                <w:rFonts w:ascii="Arial" w:eastAsia="Times New Roman" w:hAnsi="Arial" w:cs="Arial"/>
                <w:b/>
                <w:iCs/>
                <w:color w:val="ED7D31" w:themeColor="accent2"/>
                <w:sz w:val="20"/>
                <w:szCs w:val="20"/>
                <w:lang w:val="en-GB"/>
              </w:rPr>
              <w:t>(92.5</w:t>
            </w:r>
            <w:r w:rsidRPr="009B39EC">
              <w:rPr>
                <w:rFonts w:ascii="Arial" w:eastAsia="Times New Roman" w:hAnsi="Arial" w:cs="Arial"/>
                <w:b/>
                <w:iCs/>
                <w:color w:val="ED7D31" w:themeColor="accent2"/>
                <w:sz w:val="20"/>
                <w:szCs w:val="20"/>
                <w:lang w:val="en-GB"/>
              </w:rPr>
              <w:t>%</w:t>
            </w:r>
            <w:r w:rsidR="00E50B1D" w:rsidRPr="009B39EC">
              <w:rPr>
                <w:rFonts w:ascii="Arial" w:eastAsia="Times New Roman" w:hAnsi="Arial" w:cs="Arial"/>
                <w:b/>
                <w:iCs/>
                <w:color w:val="ED7D31" w:themeColor="accent2"/>
                <w:sz w:val="20"/>
                <w:szCs w:val="20"/>
                <w:lang w:val="en-GB"/>
              </w:rPr>
              <w:t>).</w:t>
            </w:r>
          </w:p>
          <w:p w14:paraId="6FC1365D" w14:textId="77777777" w:rsidR="00E50B1D" w:rsidRPr="009B39EC" w:rsidRDefault="00E50B1D" w:rsidP="00E50B1D">
            <w:pPr>
              <w:spacing w:after="0" w:line="240" w:lineRule="auto"/>
              <w:jc w:val="both"/>
              <w:rPr>
                <w:rFonts w:ascii="Arial" w:hAnsi="Arial" w:cs="Arial"/>
                <w:b/>
                <w:sz w:val="20"/>
                <w:szCs w:val="20"/>
                <w:lang w:val="en-GB"/>
              </w:rPr>
            </w:pPr>
          </w:p>
        </w:tc>
      </w:tr>
      <w:tr w:rsidR="00E50B1D" w:rsidRPr="009B39EC" w14:paraId="72221B22" w14:textId="77777777" w:rsidTr="00E50B1D">
        <w:tc>
          <w:tcPr>
            <w:tcW w:w="2628" w:type="dxa"/>
            <w:shd w:val="clear" w:color="auto" w:fill="FBE4D5" w:themeFill="accent2" w:themeFillTint="33"/>
          </w:tcPr>
          <w:p w14:paraId="1CF0A3BC" w14:textId="66C81525"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Outcomes expected to be achieved by </w:t>
            </w:r>
            <w:r w:rsidR="00585418" w:rsidRPr="009B39EC">
              <w:rPr>
                <w:rFonts w:ascii="Arial" w:hAnsi="Arial" w:cs="Arial"/>
                <w:b/>
                <w:sz w:val="20"/>
                <w:szCs w:val="20"/>
                <w:lang w:val="en-GB"/>
              </w:rPr>
              <w:t>2020</w:t>
            </w:r>
          </w:p>
        </w:tc>
        <w:tc>
          <w:tcPr>
            <w:tcW w:w="6367" w:type="dxa"/>
            <w:shd w:val="clear" w:color="auto" w:fill="FBE4D5" w:themeFill="accent2" w:themeFillTint="33"/>
          </w:tcPr>
          <w:p w14:paraId="56C62130" w14:textId="77777777" w:rsidR="00E50B1D" w:rsidRPr="009B39EC" w:rsidRDefault="00E50B1D" w:rsidP="00E50B1D">
            <w:pPr>
              <w:spacing w:after="0" w:line="240" w:lineRule="auto"/>
              <w:jc w:val="center"/>
              <w:rPr>
                <w:rFonts w:ascii="Arial" w:hAnsi="Arial" w:cs="Arial"/>
                <w:b/>
                <w:sz w:val="20"/>
                <w:szCs w:val="20"/>
                <w:lang w:val="en-GB"/>
              </w:rPr>
            </w:pPr>
          </w:p>
          <w:p w14:paraId="09F409A1" w14:textId="0DB2524E"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00741E" w:rsidRPr="009B39EC">
              <w:rPr>
                <w:rFonts w:ascii="Arial" w:hAnsi="Arial" w:cs="Arial"/>
                <w:b/>
                <w:sz w:val="20"/>
                <w:szCs w:val="20"/>
                <w:lang w:val="en-GB"/>
              </w:rPr>
              <w:t>2020</w:t>
            </w:r>
          </w:p>
        </w:tc>
      </w:tr>
      <w:tr w:rsidR="00E50B1D" w:rsidRPr="009B39EC" w14:paraId="7714E0F0" w14:textId="77777777" w:rsidTr="00491D1F">
        <w:tc>
          <w:tcPr>
            <w:tcW w:w="2628" w:type="dxa"/>
          </w:tcPr>
          <w:p w14:paraId="2177E9A7" w14:textId="54797EA1"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eastAsia="sq-AL"/>
              </w:rPr>
              <w:t xml:space="preserve">1. </w:t>
            </w:r>
            <w:r w:rsidR="00BF38B8" w:rsidRPr="009B39EC">
              <w:rPr>
                <w:rFonts w:ascii="Arial" w:eastAsia="Times New Roman" w:hAnsi="Arial" w:cs="Arial"/>
                <w:i/>
                <w:iCs/>
                <w:sz w:val="20"/>
                <w:szCs w:val="20"/>
                <w:lang w:val="en-GB"/>
              </w:rPr>
              <w:t>By the end of 2020</w:t>
            </w:r>
            <w:r w:rsidR="00BF38B8" w:rsidRPr="009B39EC">
              <w:rPr>
                <w:rFonts w:ascii="Arial" w:hAnsi="Arial" w:cs="Arial"/>
                <w:sz w:val="20"/>
                <w:szCs w:val="20"/>
                <w:lang w:val="en-GB" w:eastAsia="sq-AL"/>
              </w:rPr>
              <w:t>, the number of municipalities with established and functioning Referral Mechanisms shall have increased by 52.5</w:t>
            </w:r>
            <w:r w:rsidR="007515B1" w:rsidRPr="009B39EC">
              <w:rPr>
                <w:rFonts w:ascii="Arial" w:hAnsi="Arial" w:cs="Arial"/>
                <w:sz w:val="20"/>
                <w:szCs w:val="20"/>
                <w:lang w:val="en-GB" w:eastAsia="sq-AL"/>
              </w:rPr>
              <w:t>%</w:t>
            </w:r>
            <w:r w:rsidR="00BF38B8" w:rsidRPr="009B39EC">
              <w:rPr>
                <w:rFonts w:ascii="Arial" w:hAnsi="Arial" w:cs="Arial"/>
                <w:sz w:val="20"/>
                <w:szCs w:val="20"/>
                <w:lang w:val="en-GB" w:eastAsia="sq-AL"/>
              </w:rPr>
              <w:t xml:space="preserve"> (</w:t>
            </w:r>
            <w:r w:rsidR="00C91B33" w:rsidRPr="009B39EC">
              <w:rPr>
                <w:rFonts w:ascii="Arial" w:hAnsi="Arial" w:cs="Arial"/>
                <w:sz w:val="20"/>
                <w:szCs w:val="20"/>
                <w:lang w:val="en-GB" w:eastAsia="sq-AL"/>
              </w:rPr>
              <w:t>i.e.,</w:t>
            </w:r>
            <w:r w:rsidR="00BF38B8" w:rsidRPr="009B39EC">
              <w:rPr>
                <w:rFonts w:ascii="Arial" w:hAnsi="Arial" w:cs="Arial"/>
                <w:sz w:val="20"/>
                <w:szCs w:val="20"/>
                <w:lang w:val="en-GB" w:eastAsia="sq-AL"/>
              </w:rPr>
              <w:t xml:space="preserve"> from 29 municipalities with established referral mechanism in place in 2015, to 61 by the end of 2020)</w:t>
            </w:r>
            <w:r w:rsidRPr="009B39EC">
              <w:rPr>
                <w:rFonts w:ascii="Arial" w:hAnsi="Arial" w:cs="Arial"/>
                <w:sz w:val="20"/>
                <w:szCs w:val="20"/>
                <w:lang w:val="en-GB" w:eastAsia="sq-AL"/>
              </w:rPr>
              <w:t>.</w:t>
            </w:r>
          </w:p>
        </w:tc>
        <w:tc>
          <w:tcPr>
            <w:tcW w:w="6367" w:type="dxa"/>
          </w:tcPr>
          <w:p w14:paraId="104B80B7" w14:textId="7EEFA6B8" w:rsidR="00E50B1D" w:rsidRPr="009B39EC" w:rsidRDefault="00BF38B8" w:rsidP="00E50B1D">
            <w:pPr>
              <w:spacing w:after="0" w:line="240" w:lineRule="auto"/>
              <w:jc w:val="both"/>
              <w:rPr>
                <w:rFonts w:ascii="Arial" w:hAnsi="Arial" w:cs="Arial"/>
                <w:b/>
                <w:sz w:val="20"/>
                <w:szCs w:val="20"/>
                <w:lang w:val="en-GB"/>
              </w:rPr>
            </w:pPr>
            <w:r w:rsidRPr="009B39EC">
              <w:rPr>
                <w:rFonts w:ascii="Arial" w:hAnsi="Arial" w:cs="Arial"/>
                <w:b/>
                <w:sz w:val="20"/>
                <w:szCs w:val="20"/>
                <w:lang w:val="en-GB"/>
              </w:rPr>
              <w:t xml:space="preserve">There </w:t>
            </w:r>
            <w:r w:rsidR="00B40915" w:rsidRPr="009B39EC">
              <w:rPr>
                <w:rFonts w:ascii="Arial" w:hAnsi="Arial" w:cs="Arial"/>
                <w:b/>
                <w:sz w:val="20"/>
                <w:szCs w:val="20"/>
                <w:lang w:val="en-GB"/>
              </w:rPr>
              <w:t>have been</w:t>
            </w:r>
            <w:r w:rsidRPr="009B39EC">
              <w:rPr>
                <w:rFonts w:ascii="Arial" w:hAnsi="Arial" w:cs="Arial"/>
                <w:b/>
                <w:sz w:val="20"/>
                <w:szCs w:val="20"/>
                <w:lang w:val="en-GB"/>
              </w:rPr>
              <w:t xml:space="preserve"> positive developments and the objective has been achieved, but these developments </w:t>
            </w:r>
            <w:r w:rsidR="00B40915" w:rsidRPr="009B39EC">
              <w:rPr>
                <w:rFonts w:ascii="Arial" w:hAnsi="Arial" w:cs="Arial"/>
                <w:b/>
                <w:sz w:val="20"/>
                <w:szCs w:val="20"/>
                <w:lang w:val="en-GB"/>
              </w:rPr>
              <w:t>need to be</w:t>
            </w:r>
            <w:r w:rsidRPr="009B39EC">
              <w:rPr>
                <w:rFonts w:ascii="Arial" w:hAnsi="Arial" w:cs="Arial"/>
                <w:b/>
                <w:sz w:val="20"/>
                <w:szCs w:val="20"/>
                <w:lang w:val="en-GB"/>
              </w:rPr>
              <w:t xml:space="preserve"> long-term and sustainable</w:t>
            </w:r>
            <w:r w:rsidR="00E50B1D" w:rsidRPr="009B39EC">
              <w:rPr>
                <w:rFonts w:ascii="Arial" w:hAnsi="Arial" w:cs="Arial"/>
                <w:b/>
                <w:sz w:val="20"/>
                <w:szCs w:val="20"/>
                <w:lang w:val="en-GB"/>
              </w:rPr>
              <w:t>.</w:t>
            </w:r>
          </w:p>
          <w:p w14:paraId="3B95A62D" w14:textId="61C1C5D2" w:rsidR="00E50B1D" w:rsidRPr="009B39EC" w:rsidRDefault="00BF38B8" w:rsidP="00E50B1D">
            <w:pPr>
              <w:spacing w:after="0" w:line="240" w:lineRule="auto"/>
              <w:jc w:val="both"/>
              <w:rPr>
                <w:rFonts w:ascii="Arial" w:hAnsi="Arial" w:cs="Arial"/>
                <w:sz w:val="20"/>
                <w:szCs w:val="20"/>
                <w:lang w:val="en-GB"/>
              </w:rPr>
            </w:pPr>
            <w:r w:rsidRPr="009B39EC">
              <w:rPr>
                <w:rFonts w:ascii="Arial" w:eastAsia="Times New Roman" w:hAnsi="Arial" w:cs="Arial"/>
                <w:sz w:val="20"/>
                <w:szCs w:val="20"/>
                <w:lang w:val="en-GB"/>
              </w:rPr>
              <w:t xml:space="preserve">The </w:t>
            </w:r>
            <w:r w:rsidR="006A2F96" w:rsidRPr="009B39EC">
              <w:rPr>
                <w:rFonts w:ascii="Arial" w:eastAsia="Times New Roman" w:hAnsi="Arial" w:cs="Arial"/>
                <w:sz w:val="20"/>
                <w:szCs w:val="20"/>
                <w:lang w:val="en-GB"/>
              </w:rPr>
              <w:t>MHSP</w:t>
            </w:r>
            <w:r w:rsidRPr="009B39EC">
              <w:rPr>
                <w:rFonts w:ascii="Arial" w:eastAsia="Times New Roman" w:hAnsi="Arial" w:cs="Arial"/>
                <w:sz w:val="20"/>
                <w:szCs w:val="20"/>
                <w:lang w:val="en-GB"/>
              </w:rPr>
              <w:t>, in partnership with international organisations (</w:t>
            </w:r>
            <w:r w:rsidR="00C91B33" w:rsidRPr="009B39EC">
              <w:rPr>
                <w:rFonts w:ascii="Arial" w:eastAsia="Times New Roman" w:hAnsi="Arial" w:cs="Arial"/>
                <w:sz w:val="20"/>
                <w:szCs w:val="20"/>
                <w:lang w:val="en-GB"/>
              </w:rPr>
              <w:t>particularly</w:t>
            </w:r>
            <w:r w:rsidRPr="009B39EC">
              <w:rPr>
                <w:rFonts w:ascii="Arial" w:eastAsia="Times New Roman" w:hAnsi="Arial" w:cs="Arial"/>
                <w:sz w:val="20"/>
                <w:szCs w:val="20"/>
                <w:lang w:val="en-GB"/>
              </w:rPr>
              <w:t xml:space="preserve"> UN Agencies</w:t>
            </w:r>
            <w:r w:rsidR="00E50B1D"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has continued working for setting up Coordinated Referral Mechanisms throughout the country.</w:t>
            </w:r>
            <w:r w:rsidR="00E50B1D" w:rsidRPr="009B39EC">
              <w:rPr>
                <w:rFonts w:ascii="Arial" w:eastAsia="Times New Roman" w:hAnsi="Arial" w:cs="Arial"/>
                <w:sz w:val="20"/>
                <w:szCs w:val="20"/>
                <w:lang w:val="en-GB"/>
              </w:rPr>
              <w:t xml:space="preserve"> </w:t>
            </w:r>
            <w:r w:rsidR="008774F8" w:rsidRPr="009B39EC">
              <w:rPr>
                <w:rFonts w:ascii="Arial" w:eastAsia="Times New Roman" w:hAnsi="Arial" w:cs="Arial"/>
                <w:sz w:val="20"/>
                <w:szCs w:val="20"/>
                <w:lang w:val="en-GB"/>
              </w:rPr>
              <w:t>The cooperation agreeme</w:t>
            </w:r>
            <w:r w:rsidR="00B40915" w:rsidRPr="009B39EC">
              <w:rPr>
                <w:rFonts w:ascii="Arial" w:eastAsia="Times New Roman" w:hAnsi="Arial" w:cs="Arial"/>
                <w:sz w:val="20"/>
                <w:szCs w:val="20"/>
                <w:lang w:val="en-GB"/>
              </w:rPr>
              <w:t xml:space="preserve">nts that </w:t>
            </w:r>
            <w:r w:rsidR="007507CB" w:rsidRPr="009B39EC">
              <w:rPr>
                <w:rFonts w:ascii="Arial" w:eastAsia="Times New Roman" w:hAnsi="Arial" w:cs="Arial"/>
                <w:sz w:val="20"/>
                <w:szCs w:val="20"/>
                <w:lang w:val="en-GB"/>
              </w:rPr>
              <w:t>a</w:t>
            </w:r>
            <w:r w:rsidR="00B40915" w:rsidRPr="009B39EC">
              <w:rPr>
                <w:rFonts w:ascii="Arial" w:eastAsia="Times New Roman" w:hAnsi="Arial" w:cs="Arial"/>
                <w:sz w:val="20"/>
                <w:szCs w:val="20"/>
                <w:lang w:val="en-GB"/>
              </w:rPr>
              <w:t xml:space="preserve">re signed for this purpose have been updated and were sent out to the municipalities with established </w:t>
            </w:r>
            <w:r w:rsidR="00BF41FF" w:rsidRPr="009B39EC">
              <w:rPr>
                <w:rFonts w:ascii="Arial" w:eastAsia="Times New Roman" w:hAnsi="Arial" w:cs="Arial"/>
                <w:sz w:val="20"/>
                <w:szCs w:val="20"/>
                <w:lang w:val="en-GB"/>
              </w:rPr>
              <w:t>CRM</w:t>
            </w:r>
            <w:r w:rsidR="00B40915" w:rsidRPr="009B39EC">
              <w:rPr>
                <w:rFonts w:ascii="Arial" w:eastAsia="Times New Roman" w:hAnsi="Arial" w:cs="Arial"/>
                <w:sz w:val="20"/>
                <w:szCs w:val="20"/>
                <w:lang w:val="en-GB"/>
              </w:rPr>
              <w:t>s</w:t>
            </w:r>
            <w:r w:rsidR="00E50B1D" w:rsidRPr="009B39EC">
              <w:rPr>
                <w:rFonts w:ascii="Arial" w:eastAsia="Times New Roman" w:hAnsi="Arial" w:cs="Arial"/>
                <w:sz w:val="20"/>
                <w:szCs w:val="20"/>
                <w:lang w:val="en-GB"/>
              </w:rPr>
              <w:t xml:space="preserve">, </w:t>
            </w:r>
            <w:r w:rsidR="00B40915" w:rsidRPr="009B39EC">
              <w:rPr>
                <w:rFonts w:ascii="Arial" w:eastAsia="Times New Roman" w:hAnsi="Arial" w:cs="Arial"/>
                <w:sz w:val="20"/>
                <w:szCs w:val="20"/>
                <w:lang w:val="en-GB"/>
              </w:rPr>
              <w:t>for their consideration and re-signing</w:t>
            </w:r>
            <w:r w:rsidR="00E50B1D" w:rsidRPr="009B39EC">
              <w:rPr>
                <w:rFonts w:ascii="Arial" w:eastAsia="Times New Roman" w:hAnsi="Arial" w:cs="Arial"/>
                <w:sz w:val="20"/>
                <w:szCs w:val="20"/>
                <w:lang w:val="en-GB"/>
              </w:rPr>
              <w:t xml:space="preserve">. </w:t>
            </w:r>
            <w:r w:rsidR="00B40915" w:rsidRPr="009B39EC">
              <w:rPr>
                <w:rFonts w:ascii="Arial" w:eastAsia="Times New Roman" w:hAnsi="Arial" w:cs="Arial"/>
                <w:sz w:val="20"/>
                <w:szCs w:val="20"/>
                <w:lang w:val="en-GB"/>
              </w:rPr>
              <w:t xml:space="preserve">The CRMs </w:t>
            </w:r>
            <w:r w:rsidR="007507CB" w:rsidRPr="009B39EC">
              <w:rPr>
                <w:rFonts w:ascii="Arial" w:eastAsia="Times New Roman" w:hAnsi="Arial" w:cs="Arial"/>
                <w:sz w:val="20"/>
                <w:szCs w:val="20"/>
                <w:lang w:val="en-GB"/>
              </w:rPr>
              <w:t>have already been established</w:t>
            </w:r>
            <w:r w:rsidR="00B40915" w:rsidRPr="009B39EC">
              <w:rPr>
                <w:rFonts w:ascii="Arial" w:eastAsia="Times New Roman" w:hAnsi="Arial" w:cs="Arial"/>
                <w:sz w:val="20"/>
                <w:szCs w:val="20"/>
                <w:lang w:val="en-GB"/>
              </w:rPr>
              <w:t xml:space="preserve"> set up in </w:t>
            </w:r>
            <w:r w:rsidR="00E50B1D" w:rsidRPr="009B39EC">
              <w:rPr>
                <w:rFonts w:ascii="Arial" w:eastAsia="Times New Roman" w:hAnsi="Arial" w:cs="Arial"/>
                <w:sz w:val="20"/>
                <w:szCs w:val="20"/>
                <w:lang w:val="en-GB"/>
              </w:rPr>
              <w:t xml:space="preserve">58 </w:t>
            </w:r>
            <w:r w:rsidR="00B40915" w:rsidRPr="009B39EC">
              <w:rPr>
                <w:rFonts w:ascii="Arial" w:eastAsia="Times New Roman" w:hAnsi="Arial" w:cs="Arial"/>
                <w:sz w:val="20"/>
                <w:szCs w:val="20"/>
                <w:lang w:val="en-GB"/>
              </w:rPr>
              <w:t xml:space="preserve">municipalities </w:t>
            </w:r>
            <w:r w:rsidR="007507CB" w:rsidRPr="009B39EC">
              <w:rPr>
                <w:rFonts w:ascii="Arial" w:eastAsia="Times New Roman" w:hAnsi="Arial" w:cs="Arial"/>
                <w:sz w:val="20"/>
                <w:szCs w:val="20"/>
                <w:lang w:val="en-GB"/>
              </w:rPr>
              <w:t>of</w:t>
            </w:r>
            <w:r w:rsidR="00B40915" w:rsidRPr="009B39EC">
              <w:rPr>
                <w:rFonts w:ascii="Arial" w:eastAsia="Times New Roman" w:hAnsi="Arial" w:cs="Arial"/>
                <w:sz w:val="20"/>
                <w:szCs w:val="20"/>
                <w:lang w:val="en-GB"/>
              </w:rPr>
              <w:t xml:space="preserve"> the country and the three remaining municipalities have pledged to set up theirs very soon.</w:t>
            </w:r>
            <w:r w:rsidR="00E50B1D" w:rsidRPr="009B39EC">
              <w:rPr>
                <w:rFonts w:ascii="Arial" w:eastAsia="Times New Roman" w:hAnsi="Arial" w:cs="Arial"/>
                <w:sz w:val="20"/>
                <w:szCs w:val="20"/>
                <w:lang w:val="en-GB"/>
              </w:rPr>
              <w:t xml:space="preserve"> </w:t>
            </w:r>
            <w:r w:rsidR="00B40915" w:rsidRPr="009B39EC">
              <w:rPr>
                <w:rFonts w:ascii="Arial" w:eastAsia="Times New Roman" w:hAnsi="Arial" w:cs="Arial"/>
                <w:sz w:val="20"/>
                <w:szCs w:val="20"/>
                <w:lang w:val="en-GB"/>
              </w:rPr>
              <w:t xml:space="preserve">Efforts must continue to strengthen and increase the effectiveness of these CRMs throughout the country, by providing the necessary human resources, </w:t>
            </w:r>
            <w:proofErr w:type="gramStart"/>
            <w:r w:rsidR="00B40915" w:rsidRPr="009B39EC">
              <w:rPr>
                <w:rFonts w:ascii="Arial" w:eastAsia="Times New Roman" w:hAnsi="Arial" w:cs="Arial"/>
                <w:sz w:val="20"/>
                <w:szCs w:val="20"/>
                <w:lang w:val="en-GB"/>
              </w:rPr>
              <w:t>infrastructure</w:t>
            </w:r>
            <w:proofErr w:type="gramEnd"/>
            <w:r w:rsidR="00B40915" w:rsidRPr="009B39EC">
              <w:rPr>
                <w:rFonts w:ascii="Arial" w:eastAsia="Times New Roman" w:hAnsi="Arial" w:cs="Arial"/>
                <w:sz w:val="20"/>
                <w:szCs w:val="20"/>
                <w:lang w:val="en-GB"/>
              </w:rPr>
              <w:t xml:space="preserve"> and funds</w:t>
            </w:r>
            <w:r w:rsidR="00E50B1D" w:rsidRPr="009B39EC">
              <w:rPr>
                <w:rFonts w:ascii="Arial" w:eastAsia="Times New Roman" w:hAnsi="Arial" w:cs="Arial"/>
                <w:sz w:val="20"/>
                <w:szCs w:val="20"/>
                <w:lang w:val="en-GB"/>
              </w:rPr>
              <w:t>.</w:t>
            </w:r>
          </w:p>
        </w:tc>
      </w:tr>
      <w:tr w:rsidR="00E50B1D" w:rsidRPr="009B39EC" w14:paraId="088104E9" w14:textId="77777777" w:rsidTr="00491D1F">
        <w:tc>
          <w:tcPr>
            <w:tcW w:w="2628" w:type="dxa"/>
          </w:tcPr>
          <w:p w14:paraId="77065A29" w14:textId="7B0E53B2" w:rsidR="00E50B1D" w:rsidRPr="009B39EC" w:rsidRDefault="00C91B33" w:rsidP="00E50B1D">
            <w:pPr>
              <w:spacing w:after="0" w:line="240" w:lineRule="auto"/>
              <w:jc w:val="both"/>
              <w:rPr>
                <w:rFonts w:ascii="Arial" w:hAnsi="Arial" w:cs="Arial"/>
                <w:sz w:val="20"/>
                <w:szCs w:val="20"/>
                <w:lang w:val="en-GB" w:eastAsia="sq-AL"/>
              </w:rPr>
            </w:pPr>
            <w:r w:rsidRPr="009B39EC">
              <w:rPr>
                <w:rFonts w:ascii="Arial" w:hAnsi="Arial" w:cs="Arial"/>
                <w:sz w:val="20"/>
                <w:szCs w:val="20"/>
                <w:lang w:val="en-GB" w:eastAsia="sq-AL"/>
              </w:rPr>
              <w:t>2. By the end of 2020, the number of specialised support services shall have increased by 53.8</w:t>
            </w:r>
            <w:r w:rsidR="007515B1" w:rsidRPr="009B39EC">
              <w:rPr>
                <w:rFonts w:ascii="Arial" w:hAnsi="Arial" w:cs="Arial"/>
                <w:sz w:val="20"/>
                <w:szCs w:val="20"/>
                <w:lang w:val="en-GB" w:eastAsia="sq-AL"/>
              </w:rPr>
              <w:t>%</w:t>
            </w:r>
            <w:r w:rsidRPr="009B39EC">
              <w:rPr>
                <w:rFonts w:ascii="Arial" w:hAnsi="Arial" w:cs="Arial"/>
                <w:sz w:val="20"/>
                <w:szCs w:val="20"/>
                <w:lang w:val="en-GB" w:eastAsia="sq-AL"/>
              </w:rPr>
              <w:t xml:space="preserve"> (i.e., from 13 specialised support services in 2015 to 20 specialised support services by the end of 2020).</w:t>
            </w:r>
          </w:p>
        </w:tc>
        <w:tc>
          <w:tcPr>
            <w:tcW w:w="6367" w:type="dxa"/>
          </w:tcPr>
          <w:p w14:paraId="49BDC437" w14:textId="27143CE0" w:rsidR="00E50B1D" w:rsidRPr="009B39EC" w:rsidRDefault="00B40915" w:rsidP="00E50B1D">
            <w:pPr>
              <w:spacing w:after="0" w:line="240" w:lineRule="auto"/>
              <w:jc w:val="both"/>
              <w:rPr>
                <w:rFonts w:ascii="Arial" w:hAnsi="Arial" w:cs="Arial"/>
                <w:b/>
                <w:sz w:val="20"/>
                <w:szCs w:val="20"/>
                <w:lang w:val="en-GB"/>
              </w:rPr>
            </w:pPr>
            <w:r w:rsidRPr="009B39EC">
              <w:rPr>
                <w:rFonts w:ascii="Arial" w:hAnsi="Arial" w:cs="Arial"/>
                <w:b/>
                <w:sz w:val="20"/>
                <w:szCs w:val="20"/>
                <w:lang w:val="en-GB"/>
              </w:rPr>
              <w:t>There have been positive developments and the objective has been achieved, but these developments need to be long-term and sustainable</w:t>
            </w:r>
            <w:r w:rsidR="00E50B1D" w:rsidRPr="009B39EC">
              <w:rPr>
                <w:rFonts w:ascii="Arial" w:hAnsi="Arial" w:cs="Arial"/>
                <w:b/>
                <w:sz w:val="20"/>
                <w:szCs w:val="20"/>
                <w:lang w:val="en-GB"/>
              </w:rPr>
              <w:t>.</w:t>
            </w:r>
          </w:p>
          <w:p w14:paraId="101D4C6C" w14:textId="2E129AAF" w:rsidR="00E50B1D" w:rsidRPr="009B39EC" w:rsidRDefault="00B40915"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The number of specialised </w:t>
            </w:r>
            <w:r w:rsidR="00EE3439" w:rsidRPr="009B39EC">
              <w:rPr>
                <w:rFonts w:ascii="Arial" w:hAnsi="Arial" w:cs="Arial"/>
                <w:sz w:val="20"/>
                <w:szCs w:val="20"/>
                <w:lang w:val="en-GB"/>
              </w:rPr>
              <w:t>support services is currently</w:t>
            </w:r>
            <w:r w:rsidR="00E50B1D" w:rsidRPr="009B39EC">
              <w:rPr>
                <w:rFonts w:ascii="Arial" w:hAnsi="Arial" w:cs="Arial"/>
                <w:sz w:val="20"/>
                <w:szCs w:val="20"/>
                <w:lang w:val="en-GB"/>
              </w:rPr>
              <w:t xml:space="preserve"> 22: </w:t>
            </w:r>
          </w:p>
          <w:p w14:paraId="4F0987ED" w14:textId="7BBF118E" w:rsidR="00E50B1D" w:rsidRPr="009B39EC" w:rsidRDefault="00EE3439"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More specifically, </w:t>
            </w:r>
            <w:proofErr w:type="gramStart"/>
            <w:r w:rsidRPr="009B39EC">
              <w:rPr>
                <w:rFonts w:ascii="Arial" w:hAnsi="Arial" w:cs="Arial"/>
                <w:sz w:val="20"/>
                <w:szCs w:val="20"/>
                <w:lang w:val="en-GB"/>
              </w:rPr>
              <w:t>in the course of</w:t>
            </w:r>
            <w:proofErr w:type="gramEnd"/>
            <w:r w:rsidRPr="009B39EC">
              <w:rPr>
                <w:rFonts w:ascii="Arial" w:hAnsi="Arial" w:cs="Arial"/>
                <w:sz w:val="20"/>
                <w:szCs w:val="20"/>
                <w:lang w:val="en-GB"/>
              </w:rPr>
              <w:t xml:space="preserve"> the implementation of </w:t>
            </w:r>
            <w:r w:rsidR="00E50B1D" w:rsidRPr="009B39EC">
              <w:rPr>
                <w:rFonts w:ascii="Arial" w:hAnsi="Arial" w:cs="Arial"/>
                <w:sz w:val="20"/>
                <w:szCs w:val="20"/>
                <w:lang w:val="en-GB"/>
              </w:rPr>
              <w:t>2016-2020</w:t>
            </w:r>
            <w:r w:rsidR="004E3ED2" w:rsidRPr="009B39EC">
              <w:rPr>
                <w:rFonts w:ascii="Arial" w:hAnsi="Arial" w:cs="Arial"/>
                <w:sz w:val="20"/>
                <w:szCs w:val="20"/>
                <w:lang w:val="en-GB"/>
              </w:rPr>
              <w:t xml:space="preserve"> NSGE</w:t>
            </w:r>
            <w:r w:rsidR="00E50B1D" w:rsidRPr="009B39EC">
              <w:rPr>
                <w:rFonts w:ascii="Arial" w:hAnsi="Arial" w:cs="Arial"/>
                <w:sz w:val="20"/>
                <w:szCs w:val="20"/>
                <w:lang w:val="en-GB"/>
              </w:rPr>
              <w:t xml:space="preserve">, </w:t>
            </w:r>
            <w:r w:rsidRPr="009B39EC">
              <w:rPr>
                <w:rFonts w:ascii="Arial" w:hAnsi="Arial" w:cs="Arial"/>
                <w:sz w:val="20"/>
                <w:szCs w:val="20"/>
                <w:lang w:val="en-GB"/>
              </w:rPr>
              <w:t>the following services were added</w:t>
            </w:r>
            <w:r w:rsidR="00E50B1D" w:rsidRPr="009B39EC">
              <w:rPr>
                <w:rFonts w:ascii="Arial" w:hAnsi="Arial" w:cs="Arial"/>
                <w:sz w:val="20"/>
                <w:szCs w:val="20"/>
                <w:lang w:val="en-GB"/>
              </w:rPr>
              <w:t>:</w:t>
            </w:r>
          </w:p>
          <w:p w14:paraId="3BB06DE2" w14:textId="5CA58960" w:rsidR="00E50B1D" w:rsidRPr="009B39EC" w:rsidRDefault="00E50B1D" w:rsidP="00E50B1D">
            <w:pPr>
              <w:numPr>
                <w:ilvl w:val="0"/>
                <w:numId w:val="8"/>
              </w:num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7 </w:t>
            </w:r>
            <w:r w:rsidR="00EE3439" w:rsidRPr="009B39EC">
              <w:rPr>
                <w:rFonts w:ascii="Arial" w:hAnsi="Arial" w:cs="Arial"/>
                <w:sz w:val="20"/>
                <w:szCs w:val="20"/>
                <w:lang w:val="en-GB"/>
              </w:rPr>
              <w:t>emergency shelters</w:t>
            </w:r>
          </w:p>
          <w:p w14:paraId="7A744852" w14:textId="33577C8F" w:rsidR="00E50B1D" w:rsidRPr="009B39EC" w:rsidRDefault="00E50B1D" w:rsidP="00E50B1D">
            <w:pPr>
              <w:numPr>
                <w:ilvl w:val="0"/>
                <w:numId w:val="8"/>
              </w:num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1 </w:t>
            </w:r>
            <w:r w:rsidR="00EE3439" w:rsidRPr="009B39EC">
              <w:rPr>
                <w:rFonts w:ascii="Arial" w:hAnsi="Arial" w:cs="Arial"/>
                <w:sz w:val="20"/>
                <w:szCs w:val="20"/>
                <w:lang w:val="en-GB"/>
              </w:rPr>
              <w:t>national counselling line</w:t>
            </w:r>
            <w:r w:rsidRPr="009B39EC">
              <w:rPr>
                <w:rFonts w:ascii="Arial" w:hAnsi="Arial" w:cs="Arial"/>
                <w:sz w:val="20"/>
                <w:szCs w:val="20"/>
                <w:lang w:val="en-GB"/>
              </w:rPr>
              <w:t xml:space="preserve"> (116 117)</w:t>
            </w:r>
          </w:p>
          <w:p w14:paraId="5A076E18" w14:textId="1D410DD0" w:rsidR="00E50B1D" w:rsidRPr="009B39EC" w:rsidRDefault="00E50B1D" w:rsidP="00E50B1D">
            <w:pPr>
              <w:numPr>
                <w:ilvl w:val="0"/>
                <w:numId w:val="8"/>
              </w:num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1 </w:t>
            </w:r>
            <w:r w:rsidR="00C91B33" w:rsidRPr="009B39EC">
              <w:rPr>
                <w:rFonts w:ascii="Arial" w:hAnsi="Arial" w:cs="Arial"/>
                <w:sz w:val="20"/>
                <w:szCs w:val="20"/>
                <w:lang w:val="en-GB"/>
              </w:rPr>
              <w:t>Centre</w:t>
            </w:r>
            <w:r w:rsidR="00EE3439" w:rsidRPr="009B39EC">
              <w:rPr>
                <w:rFonts w:ascii="Arial" w:hAnsi="Arial" w:cs="Arial"/>
                <w:sz w:val="20"/>
                <w:szCs w:val="20"/>
                <w:lang w:val="en-GB"/>
              </w:rPr>
              <w:t xml:space="preserve"> for the treatment of cases of sexual assault crises</w:t>
            </w:r>
            <w:r w:rsidRPr="009B39EC">
              <w:rPr>
                <w:rFonts w:ascii="Arial" w:hAnsi="Arial" w:cs="Arial"/>
                <w:sz w:val="20"/>
                <w:szCs w:val="20"/>
                <w:lang w:val="en-GB"/>
              </w:rPr>
              <w:t xml:space="preserve"> (“Lilium”)</w:t>
            </w:r>
          </w:p>
          <w:p w14:paraId="6A1775BE" w14:textId="437BBAF4" w:rsidR="00E50B1D" w:rsidRPr="009B39EC" w:rsidRDefault="00EE3439"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However, it should be noted that some of these services are dependent on donor</w:t>
            </w:r>
            <w:r w:rsidR="004E3ED2" w:rsidRPr="009B39EC">
              <w:rPr>
                <w:rFonts w:ascii="Arial" w:hAnsi="Arial" w:cs="Arial"/>
                <w:sz w:val="20"/>
                <w:szCs w:val="20"/>
                <w:lang w:val="en-GB"/>
              </w:rPr>
              <w:t xml:space="preserve"> </w:t>
            </w:r>
            <w:r w:rsidR="00846A69" w:rsidRPr="009B39EC">
              <w:rPr>
                <w:rFonts w:ascii="Arial" w:hAnsi="Arial" w:cs="Arial"/>
                <w:sz w:val="20"/>
                <w:szCs w:val="20"/>
                <w:lang w:val="en-GB"/>
              </w:rPr>
              <w:t>financing,</w:t>
            </w:r>
            <w:r w:rsidR="00A3543A" w:rsidRPr="009B39EC">
              <w:rPr>
                <w:rFonts w:ascii="Arial" w:hAnsi="Arial" w:cs="Arial"/>
                <w:sz w:val="20"/>
                <w:szCs w:val="20"/>
                <w:lang w:val="en-GB"/>
              </w:rPr>
              <w:t xml:space="preserve"> and </w:t>
            </w:r>
            <w:r w:rsidR="004E3ED2" w:rsidRPr="009B39EC">
              <w:rPr>
                <w:rFonts w:ascii="Arial" w:hAnsi="Arial" w:cs="Arial"/>
                <w:sz w:val="20"/>
                <w:szCs w:val="20"/>
                <w:lang w:val="en-GB"/>
              </w:rPr>
              <w:t xml:space="preserve">they operate under </w:t>
            </w:r>
            <w:proofErr w:type="gramStart"/>
            <w:r w:rsidR="004E3ED2" w:rsidRPr="009B39EC">
              <w:rPr>
                <w:rFonts w:ascii="Arial" w:hAnsi="Arial" w:cs="Arial"/>
                <w:sz w:val="20"/>
                <w:szCs w:val="20"/>
                <w:lang w:val="en-GB"/>
              </w:rPr>
              <w:t>a number of</w:t>
            </w:r>
            <w:proofErr w:type="gramEnd"/>
            <w:r w:rsidR="004E3ED2" w:rsidRPr="009B39EC">
              <w:rPr>
                <w:rFonts w:ascii="Arial" w:hAnsi="Arial" w:cs="Arial"/>
                <w:sz w:val="20"/>
                <w:szCs w:val="20"/>
                <w:lang w:val="en-GB"/>
              </w:rPr>
              <w:t xml:space="preserve"> constraints in terms of </w:t>
            </w:r>
            <w:r w:rsidR="00A3543A" w:rsidRPr="009B39EC">
              <w:rPr>
                <w:rFonts w:ascii="Arial" w:hAnsi="Arial" w:cs="Arial"/>
                <w:sz w:val="20"/>
                <w:szCs w:val="20"/>
                <w:lang w:val="en-GB"/>
              </w:rPr>
              <w:t>their human and financial resources, infrastructure, proper application of international standards</w:t>
            </w:r>
            <w:r w:rsidR="00E50B1D" w:rsidRPr="009B39EC">
              <w:rPr>
                <w:rFonts w:ascii="Arial" w:hAnsi="Arial" w:cs="Arial"/>
                <w:sz w:val="20"/>
                <w:szCs w:val="20"/>
                <w:lang w:val="en-GB"/>
              </w:rPr>
              <w:t>, et</w:t>
            </w:r>
            <w:r w:rsidR="00A3543A" w:rsidRPr="009B39EC">
              <w:rPr>
                <w:rFonts w:ascii="Arial" w:hAnsi="Arial" w:cs="Arial"/>
                <w:sz w:val="20"/>
                <w:szCs w:val="20"/>
                <w:lang w:val="en-GB"/>
              </w:rPr>
              <w:t>c</w:t>
            </w:r>
            <w:r w:rsidR="00E50B1D" w:rsidRPr="009B39EC">
              <w:rPr>
                <w:rFonts w:ascii="Arial" w:hAnsi="Arial" w:cs="Arial"/>
                <w:sz w:val="20"/>
                <w:szCs w:val="20"/>
                <w:lang w:val="en-GB"/>
              </w:rPr>
              <w:t>.</w:t>
            </w:r>
          </w:p>
          <w:p w14:paraId="210CF0DD" w14:textId="393BF6F6" w:rsidR="00E50B1D" w:rsidRPr="009B39EC" w:rsidRDefault="004E3ED2"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Of</w:t>
            </w:r>
            <w:r w:rsidR="00C22826" w:rsidRPr="009B39EC">
              <w:rPr>
                <w:rFonts w:ascii="Arial" w:hAnsi="Arial" w:cs="Arial"/>
                <w:sz w:val="20"/>
                <w:szCs w:val="20"/>
                <w:lang w:val="en-GB"/>
              </w:rPr>
              <w:t xml:space="preserve"> the total number of the specialised support services, two national shelters</w:t>
            </w:r>
            <w:r w:rsidRPr="009B39EC">
              <w:rPr>
                <w:rFonts w:ascii="Arial" w:hAnsi="Arial" w:cs="Arial"/>
                <w:sz w:val="20"/>
                <w:szCs w:val="20"/>
                <w:lang w:val="en-GB"/>
              </w:rPr>
              <w:t xml:space="preserve"> are fully </w:t>
            </w:r>
            <w:r w:rsidR="00846A69" w:rsidRPr="009B39EC">
              <w:rPr>
                <w:rFonts w:ascii="Arial" w:hAnsi="Arial" w:cs="Arial"/>
                <w:sz w:val="20"/>
                <w:szCs w:val="20"/>
                <w:lang w:val="en-GB"/>
              </w:rPr>
              <w:t>funded,</w:t>
            </w:r>
            <w:r w:rsidRPr="009B39EC">
              <w:rPr>
                <w:rFonts w:ascii="Arial" w:hAnsi="Arial" w:cs="Arial"/>
                <w:sz w:val="20"/>
                <w:szCs w:val="20"/>
                <w:lang w:val="en-GB"/>
              </w:rPr>
              <w:t xml:space="preserve"> and </w:t>
            </w:r>
            <w:r w:rsidR="00C22826" w:rsidRPr="009B39EC">
              <w:rPr>
                <w:rFonts w:ascii="Arial" w:hAnsi="Arial" w:cs="Arial"/>
                <w:sz w:val="20"/>
                <w:szCs w:val="20"/>
                <w:lang w:val="en-GB"/>
              </w:rPr>
              <w:t xml:space="preserve">another six specialised services are partially </w:t>
            </w:r>
            <w:r w:rsidRPr="009B39EC">
              <w:rPr>
                <w:rFonts w:ascii="Arial" w:hAnsi="Arial" w:cs="Arial"/>
                <w:sz w:val="20"/>
                <w:szCs w:val="20"/>
                <w:lang w:val="en-GB"/>
              </w:rPr>
              <w:t xml:space="preserve">funded </w:t>
            </w:r>
            <w:r w:rsidR="00C22826" w:rsidRPr="009B39EC">
              <w:rPr>
                <w:rFonts w:ascii="Arial" w:hAnsi="Arial" w:cs="Arial"/>
                <w:sz w:val="20"/>
                <w:szCs w:val="20"/>
                <w:lang w:val="en-GB"/>
              </w:rPr>
              <w:t>by the state budget. The</w:t>
            </w:r>
            <w:r w:rsidRPr="009B39EC">
              <w:rPr>
                <w:rFonts w:ascii="Arial" w:hAnsi="Arial" w:cs="Arial"/>
                <w:sz w:val="20"/>
                <w:szCs w:val="20"/>
                <w:lang w:val="en-GB"/>
              </w:rPr>
              <w:t>se</w:t>
            </w:r>
            <w:r w:rsidR="00C22826" w:rsidRPr="009B39EC">
              <w:rPr>
                <w:rFonts w:ascii="Arial" w:hAnsi="Arial" w:cs="Arial"/>
                <w:sz w:val="20"/>
                <w:szCs w:val="20"/>
                <w:lang w:val="en-GB"/>
              </w:rPr>
              <w:t xml:space="preserve"> services operate a database of all the cases managed over the years</w:t>
            </w:r>
            <w:r w:rsidR="00E50B1D" w:rsidRPr="009B39EC">
              <w:rPr>
                <w:rFonts w:ascii="Arial" w:hAnsi="Arial" w:cs="Arial"/>
                <w:sz w:val="20"/>
                <w:szCs w:val="20"/>
                <w:lang w:val="en-GB"/>
              </w:rPr>
              <w:t>.</w:t>
            </w:r>
          </w:p>
        </w:tc>
      </w:tr>
      <w:tr w:rsidR="00E50B1D" w:rsidRPr="009B39EC" w14:paraId="78764562" w14:textId="77777777" w:rsidTr="00E50B1D">
        <w:tc>
          <w:tcPr>
            <w:tcW w:w="8995" w:type="dxa"/>
            <w:gridSpan w:val="2"/>
            <w:shd w:val="clear" w:color="auto" w:fill="FBE4D5" w:themeFill="accent2" w:themeFillTint="33"/>
          </w:tcPr>
          <w:p w14:paraId="58A62214" w14:textId="4660DF68" w:rsidR="00E50B1D" w:rsidRPr="009B39EC" w:rsidRDefault="00127B55" w:rsidP="00E50B1D">
            <w:pPr>
              <w:spacing w:after="0" w:line="240" w:lineRule="auto"/>
              <w:rPr>
                <w:rFonts w:ascii="Arial" w:hAnsi="Arial" w:cs="Arial"/>
                <w:b/>
                <w:sz w:val="20"/>
                <w:szCs w:val="20"/>
                <w:lang w:val="en-GB"/>
              </w:rPr>
            </w:pPr>
            <w:r w:rsidRPr="009B39EC">
              <w:rPr>
                <w:rFonts w:ascii="Arial" w:hAnsi="Arial" w:cs="Arial"/>
                <w:b/>
                <w:sz w:val="20"/>
                <w:szCs w:val="20"/>
                <w:u w:val="single"/>
                <w:lang w:val="en-GB"/>
              </w:rPr>
              <w:t>Specific objective</w:t>
            </w:r>
            <w:r w:rsidR="00E50B1D" w:rsidRPr="009B39EC">
              <w:rPr>
                <w:rFonts w:ascii="Arial" w:hAnsi="Arial" w:cs="Arial"/>
                <w:b/>
                <w:sz w:val="20"/>
                <w:szCs w:val="20"/>
                <w:u w:val="single"/>
                <w:lang w:val="en-GB"/>
              </w:rPr>
              <w:t>3.3</w:t>
            </w:r>
            <w:r w:rsidR="00E50B1D" w:rsidRPr="009B39EC">
              <w:rPr>
                <w:rFonts w:ascii="Arial" w:hAnsi="Arial" w:cs="Arial"/>
                <w:b/>
                <w:sz w:val="20"/>
                <w:szCs w:val="20"/>
                <w:lang w:val="en-GB"/>
              </w:rPr>
              <w:t xml:space="preserve">: </w:t>
            </w:r>
            <w:r w:rsidR="00A3543A" w:rsidRPr="009B39EC">
              <w:rPr>
                <w:rFonts w:ascii="Arial" w:hAnsi="Arial" w:cs="Arial"/>
                <w:b/>
                <w:sz w:val="20"/>
                <w:szCs w:val="20"/>
                <w:lang w:val="en-GB"/>
              </w:rPr>
              <w:t>Punishment of perpetrators and providing opportunities for their rehabilitation through specialised programmes</w:t>
            </w:r>
            <w:r w:rsidR="00E50B1D" w:rsidRPr="009B39EC">
              <w:rPr>
                <w:rFonts w:ascii="Arial" w:hAnsi="Arial" w:cs="Arial"/>
                <w:b/>
                <w:sz w:val="20"/>
                <w:szCs w:val="20"/>
                <w:lang w:val="en-GB"/>
              </w:rPr>
              <w:t>.</w:t>
            </w:r>
          </w:p>
        </w:tc>
      </w:tr>
      <w:tr w:rsidR="00E50B1D" w:rsidRPr="009B39EC" w14:paraId="2E20DE81" w14:textId="77777777" w:rsidTr="00E50B1D">
        <w:tc>
          <w:tcPr>
            <w:tcW w:w="8995" w:type="dxa"/>
            <w:gridSpan w:val="2"/>
            <w:shd w:val="clear" w:color="auto" w:fill="FBE4D5" w:themeFill="accent2" w:themeFillTint="33"/>
          </w:tcPr>
          <w:p w14:paraId="6C50C4EC" w14:textId="11813A33" w:rsidR="00E50B1D" w:rsidRPr="009B39EC" w:rsidRDefault="00127B55" w:rsidP="00E50B1D">
            <w:pPr>
              <w:spacing w:after="0" w:line="240" w:lineRule="auto"/>
              <w:jc w:val="both"/>
              <w:rPr>
                <w:rFonts w:ascii="Arial" w:eastAsia="Times New Roman" w:hAnsi="Arial" w:cs="Arial"/>
                <w:i/>
                <w:iCs/>
                <w:sz w:val="20"/>
                <w:szCs w:val="20"/>
                <w:lang w:val="en-GB"/>
              </w:rPr>
            </w:pPr>
            <w:r w:rsidRPr="009B39EC">
              <w:rPr>
                <w:rFonts w:ascii="Arial" w:eastAsia="Times New Roman" w:hAnsi="Arial" w:cs="Arial"/>
                <w:b/>
                <w:iCs/>
                <w:sz w:val="20"/>
                <w:szCs w:val="20"/>
                <w:u w:val="single"/>
                <w:lang w:val="en-GB"/>
              </w:rPr>
              <w:t>Objective indicator</w:t>
            </w:r>
            <w:r w:rsidR="00E50B1D" w:rsidRPr="009B39EC">
              <w:rPr>
                <w:rFonts w:ascii="Arial" w:eastAsia="Times New Roman" w:hAnsi="Arial" w:cs="Arial"/>
                <w:b/>
                <w:iCs/>
                <w:sz w:val="20"/>
                <w:szCs w:val="20"/>
                <w:u w:val="single"/>
                <w:lang w:val="en-GB"/>
              </w:rPr>
              <w:t>:</w:t>
            </w:r>
            <w:r w:rsidR="00E50B1D" w:rsidRPr="009B39EC">
              <w:rPr>
                <w:rFonts w:ascii="Arial" w:eastAsia="Times New Roman" w:hAnsi="Arial" w:cs="Arial"/>
                <w:i/>
                <w:iCs/>
                <w:sz w:val="20"/>
                <w:szCs w:val="20"/>
                <w:lang w:val="en-GB"/>
              </w:rPr>
              <w:t xml:space="preserve"> </w:t>
            </w:r>
          </w:p>
          <w:p w14:paraId="719F898B" w14:textId="28777258" w:rsidR="00E50B1D" w:rsidRPr="009B39EC" w:rsidRDefault="00E50B1D" w:rsidP="00E50B1D">
            <w:pPr>
              <w:spacing w:after="0" w:line="240" w:lineRule="auto"/>
              <w:jc w:val="both"/>
              <w:rPr>
                <w:rFonts w:ascii="Arial" w:eastAsia="Times New Roman" w:hAnsi="Arial" w:cs="Arial"/>
                <w:iCs/>
                <w:sz w:val="20"/>
                <w:szCs w:val="20"/>
                <w:lang w:val="en-GB"/>
              </w:rPr>
            </w:pPr>
            <w:r w:rsidRPr="009B39EC">
              <w:rPr>
                <w:rFonts w:ascii="Arial" w:eastAsia="Times New Roman" w:hAnsi="Arial" w:cs="Arial"/>
                <w:i/>
                <w:iCs/>
                <w:sz w:val="20"/>
                <w:szCs w:val="20"/>
                <w:lang w:val="en-GB"/>
              </w:rPr>
              <w:t>(</w:t>
            </w:r>
            <w:r w:rsidRPr="009B39EC">
              <w:rPr>
                <w:rFonts w:ascii="Arial" w:eastAsia="Times New Roman" w:hAnsi="Arial" w:cs="Arial"/>
                <w:iCs/>
                <w:sz w:val="20"/>
                <w:szCs w:val="20"/>
                <w:lang w:val="en-GB"/>
              </w:rPr>
              <w:t xml:space="preserve">i) </w:t>
            </w:r>
            <w:r w:rsidR="00A3543A" w:rsidRPr="009B39EC">
              <w:rPr>
                <w:rFonts w:ascii="Arial" w:eastAsia="Times New Roman" w:hAnsi="Arial" w:cs="Arial"/>
                <w:iCs/>
                <w:sz w:val="20"/>
                <w:szCs w:val="20"/>
                <w:lang w:val="en-GB"/>
              </w:rPr>
              <w:t>By the end of 2020</w:t>
            </w:r>
            <w:r w:rsidRPr="009B39EC">
              <w:rPr>
                <w:rFonts w:ascii="Arial" w:eastAsia="Times New Roman" w:hAnsi="Arial" w:cs="Arial"/>
                <w:iCs/>
                <w:sz w:val="20"/>
                <w:szCs w:val="20"/>
                <w:lang w:val="en-GB"/>
              </w:rPr>
              <w:t xml:space="preserve">, </w:t>
            </w:r>
            <w:r w:rsidR="00A3543A" w:rsidRPr="009B39EC">
              <w:rPr>
                <w:rFonts w:ascii="Arial" w:eastAsia="Times New Roman" w:hAnsi="Arial" w:cs="Arial"/>
                <w:iCs/>
                <w:sz w:val="20"/>
                <w:szCs w:val="20"/>
                <w:lang w:val="en-GB"/>
              </w:rPr>
              <w:t xml:space="preserve">criminal law on gender-based violence and domestic violence shall be aligned with ratified international </w:t>
            </w:r>
            <w:r w:rsidR="001832B3" w:rsidRPr="009B39EC">
              <w:rPr>
                <w:rFonts w:ascii="Arial" w:eastAsia="Times New Roman" w:hAnsi="Arial" w:cs="Arial"/>
                <w:iCs/>
                <w:sz w:val="20"/>
                <w:szCs w:val="20"/>
                <w:lang w:val="en-GB"/>
              </w:rPr>
              <w:t>instruments</w:t>
            </w:r>
            <w:r w:rsidRPr="009B39EC">
              <w:rPr>
                <w:rFonts w:ascii="Arial" w:eastAsia="Times New Roman" w:hAnsi="Arial" w:cs="Arial"/>
                <w:iCs/>
                <w:sz w:val="20"/>
                <w:szCs w:val="20"/>
                <w:lang w:val="en-GB"/>
              </w:rPr>
              <w:t>.</w:t>
            </w:r>
          </w:p>
          <w:p w14:paraId="106C846C" w14:textId="780DBB31" w:rsidR="00E50B1D" w:rsidRPr="009B39EC" w:rsidRDefault="00E50B1D" w:rsidP="00E50B1D">
            <w:pPr>
              <w:spacing w:after="0" w:line="240" w:lineRule="auto"/>
              <w:rPr>
                <w:rFonts w:ascii="Arial" w:eastAsia="Times New Roman" w:hAnsi="Arial" w:cs="Arial"/>
                <w:b/>
                <w:iCs/>
                <w:sz w:val="20"/>
                <w:szCs w:val="20"/>
                <w:u w:val="single"/>
                <w:lang w:val="en-GB"/>
              </w:rPr>
            </w:pPr>
            <w:r w:rsidRPr="009B39EC">
              <w:rPr>
                <w:rFonts w:ascii="Arial" w:hAnsi="Arial" w:cs="Arial"/>
                <w:sz w:val="20"/>
                <w:szCs w:val="20"/>
                <w:lang w:val="en-GB" w:eastAsia="sq-AL"/>
              </w:rPr>
              <w:t xml:space="preserve">(ii)  </w:t>
            </w:r>
            <w:r w:rsidR="00A3543A" w:rsidRPr="009B39EC">
              <w:rPr>
                <w:rFonts w:ascii="Arial" w:hAnsi="Arial" w:cs="Arial"/>
                <w:sz w:val="20"/>
                <w:szCs w:val="20"/>
                <w:lang w:val="en-GB" w:eastAsia="sq-AL"/>
              </w:rPr>
              <w:t>By the end of 2020</w:t>
            </w:r>
            <w:r w:rsidRPr="009B39EC">
              <w:rPr>
                <w:rFonts w:ascii="Arial" w:hAnsi="Arial" w:cs="Arial"/>
                <w:sz w:val="20"/>
                <w:szCs w:val="20"/>
                <w:lang w:val="en-GB" w:eastAsia="sq-AL"/>
              </w:rPr>
              <w:t xml:space="preserve">, </w:t>
            </w:r>
            <w:r w:rsidR="00A3543A" w:rsidRPr="009B39EC">
              <w:rPr>
                <w:rFonts w:ascii="Arial" w:hAnsi="Arial" w:cs="Arial"/>
                <w:sz w:val="20"/>
                <w:szCs w:val="20"/>
                <w:lang w:val="en-GB" w:eastAsia="sq-AL"/>
              </w:rPr>
              <w:t xml:space="preserve">the number of punished and rehabilitated perpetrators shall have increased by </w:t>
            </w:r>
            <w:r w:rsidRPr="009B39EC">
              <w:rPr>
                <w:rFonts w:ascii="Arial" w:hAnsi="Arial" w:cs="Arial"/>
                <w:sz w:val="20"/>
                <w:szCs w:val="20"/>
                <w:lang w:val="en-GB" w:eastAsia="sq-AL"/>
              </w:rPr>
              <w:t>30</w:t>
            </w:r>
            <w:r w:rsidR="007515B1" w:rsidRPr="009B39EC">
              <w:rPr>
                <w:rFonts w:ascii="Arial" w:hAnsi="Arial" w:cs="Arial"/>
                <w:sz w:val="20"/>
                <w:szCs w:val="20"/>
                <w:lang w:val="en-GB" w:eastAsia="sq-AL"/>
              </w:rPr>
              <w:t>%</w:t>
            </w:r>
            <w:r w:rsidRPr="009B39EC">
              <w:rPr>
                <w:rFonts w:ascii="Arial" w:hAnsi="Arial" w:cs="Arial"/>
                <w:sz w:val="20"/>
                <w:szCs w:val="20"/>
                <w:lang w:val="en-GB" w:eastAsia="sq-AL"/>
              </w:rPr>
              <w:t>.</w:t>
            </w:r>
          </w:p>
        </w:tc>
      </w:tr>
      <w:tr w:rsidR="00E50B1D" w:rsidRPr="009B39EC" w14:paraId="3B92323E" w14:textId="77777777" w:rsidTr="00E50B1D">
        <w:tc>
          <w:tcPr>
            <w:tcW w:w="8995" w:type="dxa"/>
            <w:gridSpan w:val="2"/>
            <w:shd w:val="clear" w:color="auto" w:fill="FBE4D5" w:themeFill="accent2" w:themeFillTint="33"/>
          </w:tcPr>
          <w:p w14:paraId="3E04C857" w14:textId="62EE0491" w:rsidR="00E50B1D" w:rsidRPr="009B39EC" w:rsidRDefault="007515B1" w:rsidP="00E50B1D">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r w:rsidRPr="009B39EC">
              <w:rPr>
                <w:rFonts w:ascii="Arial" w:eastAsia="Times New Roman" w:hAnsi="Arial" w:cs="Arial"/>
                <w:b/>
                <w:i/>
                <w:iCs/>
                <w:sz w:val="20"/>
                <w:szCs w:val="20"/>
                <w:u w:val="single"/>
                <w:lang w:val="en-GB"/>
              </w:rPr>
              <w:t>Realisation of the objective</w:t>
            </w:r>
            <w:r w:rsidR="00E50B1D" w:rsidRPr="009B39EC">
              <w:rPr>
                <w:rFonts w:ascii="Arial" w:eastAsia="Times New Roman" w:hAnsi="Arial" w:cs="Arial"/>
                <w:b/>
                <w:i/>
                <w:iCs/>
                <w:sz w:val="20"/>
                <w:szCs w:val="20"/>
                <w:u w:val="single"/>
                <w:lang w:val="en-GB"/>
              </w:rPr>
              <w:t>:</w:t>
            </w:r>
            <w:r w:rsidR="00E50B1D" w:rsidRPr="009B39EC">
              <w:rPr>
                <w:rFonts w:ascii="Arial" w:eastAsia="Times New Roman" w:hAnsi="Arial" w:cs="Arial"/>
                <w:b/>
                <w:i/>
                <w:iCs/>
                <w:sz w:val="20"/>
                <w:szCs w:val="20"/>
                <w:lang w:val="en-GB"/>
              </w:rPr>
              <w:t xml:space="preserve">  </w:t>
            </w:r>
            <w:r w:rsidR="006D66D8" w:rsidRPr="009B39EC">
              <w:rPr>
                <w:rFonts w:ascii="Arial" w:eastAsia="Times New Roman" w:hAnsi="Arial" w:cs="Arial"/>
                <w:b/>
                <w:iCs/>
                <w:color w:val="ED7D31" w:themeColor="accent2"/>
                <w:sz w:val="20"/>
                <w:szCs w:val="20"/>
                <w:lang w:val="en-GB"/>
              </w:rPr>
              <w:t>PARTIALLY</w:t>
            </w:r>
            <w:r w:rsidR="00E50B1D" w:rsidRPr="009B39EC">
              <w:rPr>
                <w:rFonts w:ascii="Arial" w:eastAsia="Times New Roman" w:hAnsi="Arial" w:cs="Arial"/>
                <w:b/>
                <w:iCs/>
                <w:color w:val="ED7D31" w:themeColor="accent2"/>
                <w:sz w:val="20"/>
                <w:szCs w:val="20"/>
                <w:lang w:val="en-GB"/>
              </w:rPr>
              <w:t xml:space="preserve"> </w:t>
            </w:r>
            <w:r w:rsidR="00A72B1D" w:rsidRPr="009B39EC">
              <w:rPr>
                <w:rFonts w:ascii="Arial" w:eastAsia="Times New Roman" w:hAnsi="Arial" w:cs="Arial"/>
                <w:b/>
                <w:iCs/>
                <w:color w:val="ED7D31" w:themeColor="accent2"/>
                <w:sz w:val="20"/>
                <w:szCs w:val="20"/>
                <w:lang w:val="en-GB"/>
              </w:rPr>
              <w:t xml:space="preserve">REALISED </w:t>
            </w:r>
            <w:r w:rsidR="00E50B1D" w:rsidRPr="009B39EC">
              <w:rPr>
                <w:rFonts w:ascii="Arial" w:eastAsia="Times New Roman" w:hAnsi="Arial" w:cs="Arial"/>
                <w:b/>
                <w:iCs/>
                <w:color w:val="ED7D31" w:themeColor="accent2"/>
                <w:sz w:val="20"/>
                <w:szCs w:val="20"/>
                <w:lang w:val="en-GB"/>
              </w:rPr>
              <w:t>(70</w:t>
            </w:r>
            <w:r w:rsidRPr="009B39EC">
              <w:rPr>
                <w:rFonts w:ascii="Arial" w:eastAsia="Times New Roman" w:hAnsi="Arial" w:cs="Arial"/>
                <w:b/>
                <w:iCs/>
                <w:color w:val="ED7D31" w:themeColor="accent2"/>
                <w:sz w:val="20"/>
                <w:szCs w:val="20"/>
                <w:lang w:val="en-GB"/>
              </w:rPr>
              <w:t>%</w:t>
            </w:r>
            <w:r w:rsidR="00E50B1D" w:rsidRPr="009B39EC">
              <w:rPr>
                <w:rFonts w:ascii="Arial" w:eastAsia="Times New Roman" w:hAnsi="Arial" w:cs="Arial"/>
                <w:b/>
                <w:iCs/>
                <w:color w:val="ED7D31" w:themeColor="accent2"/>
                <w:sz w:val="20"/>
                <w:szCs w:val="20"/>
                <w:lang w:val="en-GB"/>
              </w:rPr>
              <w:t>).</w:t>
            </w:r>
          </w:p>
          <w:p w14:paraId="58868466" w14:textId="77777777" w:rsidR="00E50B1D" w:rsidRPr="009B39EC" w:rsidRDefault="00E50B1D" w:rsidP="00E50B1D">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p>
        </w:tc>
      </w:tr>
      <w:tr w:rsidR="00E50B1D" w:rsidRPr="009B39EC" w14:paraId="4447F414" w14:textId="77777777" w:rsidTr="00E50B1D">
        <w:tc>
          <w:tcPr>
            <w:tcW w:w="2628" w:type="dxa"/>
            <w:shd w:val="clear" w:color="auto" w:fill="FBE4D5" w:themeFill="accent2" w:themeFillTint="33"/>
          </w:tcPr>
          <w:p w14:paraId="729E51A8" w14:textId="6A565D2F"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Outcomes expected by the </w:t>
            </w:r>
            <w:r w:rsidR="00585418" w:rsidRPr="009B39EC">
              <w:rPr>
                <w:rFonts w:ascii="Arial" w:hAnsi="Arial" w:cs="Arial"/>
                <w:b/>
                <w:sz w:val="20"/>
                <w:szCs w:val="20"/>
                <w:lang w:val="en-GB"/>
              </w:rPr>
              <w:t>2020</w:t>
            </w:r>
          </w:p>
        </w:tc>
        <w:tc>
          <w:tcPr>
            <w:tcW w:w="6367" w:type="dxa"/>
            <w:shd w:val="clear" w:color="auto" w:fill="FBE4D5" w:themeFill="accent2" w:themeFillTint="33"/>
          </w:tcPr>
          <w:p w14:paraId="3EAF91C4" w14:textId="77777777" w:rsidR="00E50B1D" w:rsidRPr="009B39EC" w:rsidRDefault="00E50B1D" w:rsidP="00E50B1D">
            <w:pPr>
              <w:spacing w:after="0" w:line="240" w:lineRule="auto"/>
              <w:jc w:val="center"/>
              <w:rPr>
                <w:rFonts w:ascii="Arial" w:hAnsi="Arial" w:cs="Arial"/>
                <w:b/>
                <w:sz w:val="20"/>
                <w:szCs w:val="20"/>
                <w:lang w:val="en-GB"/>
              </w:rPr>
            </w:pPr>
          </w:p>
          <w:p w14:paraId="7077F03B" w14:textId="26FE7978"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00741E" w:rsidRPr="009B39EC">
              <w:rPr>
                <w:rFonts w:ascii="Arial" w:hAnsi="Arial" w:cs="Arial"/>
                <w:b/>
                <w:sz w:val="20"/>
                <w:szCs w:val="20"/>
                <w:lang w:val="en-GB"/>
              </w:rPr>
              <w:t>2020</w:t>
            </w:r>
          </w:p>
        </w:tc>
      </w:tr>
      <w:tr w:rsidR="00E50B1D" w:rsidRPr="009B39EC" w14:paraId="4D63D4AA" w14:textId="77777777" w:rsidTr="00F9612E">
        <w:trPr>
          <w:trHeight w:val="730"/>
        </w:trPr>
        <w:tc>
          <w:tcPr>
            <w:tcW w:w="2628" w:type="dxa"/>
          </w:tcPr>
          <w:p w14:paraId="176B8BCB" w14:textId="03AFF68A"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eastAsia="sq-AL"/>
              </w:rPr>
              <w:t xml:space="preserve">1. </w:t>
            </w:r>
            <w:r w:rsidR="00A3543A" w:rsidRPr="009B39EC">
              <w:rPr>
                <w:rFonts w:ascii="Arial" w:hAnsi="Arial" w:cs="Arial"/>
                <w:sz w:val="20"/>
                <w:szCs w:val="20"/>
                <w:lang w:val="en-GB" w:eastAsia="sq-AL"/>
              </w:rPr>
              <w:t xml:space="preserve">By the end of </w:t>
            </w:r>
            <w:r w:rsidR="00C22826" w:rsidRPr="009B39EC">
              <w:rPr>
                <w:rFonts w:ascii="Arial" w:hAnsi="Arial" w:cs="Arial"/>
                <w:sz w:val="20"/>
                <w:szCs w:val="20"/>
                <w:lang w:val="en-GB" w:eastAsia="sq-AL"/>
              </w:rPr>
              <w:t>2020, criminal</w:t>
            </w:r>
            <w:r w:rsidR="00F9612E" w:rsidRPr="009B39EC">
              <w:rPr>
                <w:rFonts w:ascii="Arial" w:eastAsia="Times New Roman" w:hAnsi="Arial" w:cs="Arial"/>
                <w:iCs/>
                <w:sz w:val="20"/>
                <w:szCs w:val="20"/>
                <w:lang w:val="en-GB"/>
              </w:rPr>
              <w:t xml:space="preserve"> law on gender-based violence and domestic violence shall be </w:t>
            </w:r>
            <w:r w:rsidR="00F9612E" w:rsidRPr="009B39EC">
              <w:rPr>
                <w:rFonts w:ascii="Arial" w:eastAsia="Times New Roman" w:hAnsi="Arial" w:cs="Arial"/>
                <w:iCs/>
                <w:sz w:val="20"/>
                <w:szCs w:val="20"/>
                <w:lang w:val="en-GB"/>
              </w:rPr>
              <w:lastRenderedPageBreak/>
              <w:t>aligned with ratified international documents</w:t>
            </w:r>
            <w:r w:rsidRPr="009B39EC">
              <w:rPr>
                <w:rFonts w:ascii="Arial" w:hAnsi="Arial" w:cs="Arial"/>
                <w:sz w:val="20"/>
                <w:szCs w:val="20"/>
                <w:lang w:val="en-GB" w:eastAsia="sq-AL"/>
              </w:rPr>
              <w:t>.</w:t>
            </w:r>
          </w:p>
        </w:tc>
        <w:tc>
          <w:tcPr>
            <w:tcW w:w="6367" w:type="dxa"/>
          </w:tcPr>
          <w:p w14:paraId="13DEAD23" w14:textId="25A08155" w:rsidR="00E50B1D" w:rsidRPr="009B39EC" w:rsidRDefault="00F9612E" w:rsidP="00E50B1D">
            <w:pPr>
              <w:tabs>
                <w:tab w:val="left" w:pos="709"/>
                <w:tab w:val="left" w:pos="851"/>
              </w:tabs>
              <w:suppressAutoHyphens/>
              <w:spacing w:after="0" w:line="240" w:lineRule="auto"/>
              <w:jc w:val="both"/>
              <w:rPr>
                <w:rFonts w:ascii="Arial" w:hAnsi="Arial" w:cs="Arial"/>
                <w:sz w:val="20"/>
                <w:szCs w:val="20"/>
                <w:lang w:val="en-GB"/>
              </w:rPr>
            </w:pPr>
            <w:r w:rsidRPr="009B39EC">
              <w:rPr>
                <w:rFonts w:ascii="Arial" w:hAnsi="Arial" w:cs="Arial"/>
                <w:b/>
                <w:sz w:val="20"/>
                <w:szCs w:val="20"/>
                <w:lang w:val="en-GB"/>
              </w:rPr>
              <w:lastRenderedPageBreak/>
              <w:t xml:space="preserve">Further improvements are needed </w:t>
            </w:r>
            <w:proofErr w:type="gramStart"/>
            <w:r w:rsidRPr="009B39EC">
              <w:rPr>
                <w:rFonts w:ascii="Arial" w:hAnsi="Arial" w:cs="Arial"/>
                <w:b/>
                <w:sz w:val="20"/>
                <w:szCs w:val="20"/>
                <w:lang w:val="en-GB"/>
              </w:rPr>
              <w:t>in the area of</w:t>
            </w:r>
            <w:proofErr w:type="gramEnd"/>
            <w:r w:rsidRPr="009B39EC">
              <w:rPr>
                <w:rFonts w:ascii="Arial" w:hAnsi="Arial" w:cs="Arial"/>
                <w:b/>
                <w:sz w:val="20"/>
                <w:szCs w:val="20"/>
                <w:lang w:val="en-GB"/>
              </w:rPr>
              <w:t xml:space="preserve"> criminal legislation</w:t>
            </w:r>
            <w:r w:rsidR="00E50B1D" w:rsidRPr="009B39EC">
              <w:rPr>
                <w:rFonts w:ascii="Arial" w:hAnsi="Arial" w:cs="Arial"/>
                <w:b/>
                <w:sz w:val="20"/>
                <w:szCs w:val="20"/>
                <w:lang w:val="en-GB"/>
              </w:rPr>
              <w:t>.</w:t>
            </w:r>
            <w:r w:rsidR="00E50B1D" w:rsidRPr="009B39EC">
              <w:rPr>
                <w:rFonts w:ascii="Arial" w:hAnsi="Arial" w:cs="Arial"/>
                <w:sz w:val="20"/>
                <w:szCs w:val="20"/>
                <w:lang w:val="en-GB"/>
              </w:rPr>
              <w:t xml:space="preserve"> </w:t>
            </w:r>
          </w:p>
          <w:p w14:paraId="60A4C8A4" w14:textId="14D7CAB9" w:rsidR="00E50B1D" w:rsidRPr="009B39EC" w:rsidRDefault="00F9612E" w:rsidP="00E50B1D">
            <w:pPr>
              <w:tabs>
                <w:tab w:val="left" w:pos="709"/>
                <w:tab w:val="left" w:pos="851"/>
              </w:tabs>
              <w:suppressAutoHyphens/>
              <w:spacing w:after="0" w:line="240" w:lineRule="auto"/>
              <w:jc w:val="both"/>
              <w:rPr>
                <w:rFonts w:ascii="Arial" w:hAnsi="Arial" w:cs="Arial"/>
                <w:sz w:val="20"/>
                <w:szCs w:val="20"/>
                <w:lang w:val="en-GB"/>
              </w:rPr>
            </w:pPr>
            <w:r w:rsidRPr="009B39EC">
              <w:rPr>
                <w:rFonts w:ascii="Arial" w:hAnsi="Arial" w:cs="Arial"/>
                <w:sz w:val="20"/>
                <w:szCs w:val="20"/>
                <w:lang w:val="en-GB"/>
              </w:rPr>
              <w:t>Law</w:t>
            </w:r>
            <w:r w:rsidR="00E50B1D" w:rsidRPr="009B39EC">
              <w:rPr>
                <w:rFonts w:ascii="Arial" w:hAnsi="Arial" w:cs="Arial"/>
                <w:sz w:val="20"/>
                <w:szCs w:val="20"/>
                <w:lang w:val="en-GB"/>
              </w:rPr>
              <w:t xml:space="preserve"> </w:t>
            </w:r>
            <w:r w:rsidR="004E3ED2" w:rsidRPr="009B39EC">
              <w:rPr>
                <w:rFonts w:ascii="Arial" w:hAnsi="Arial" w:cs="Arial"/>
                <w:sz w:val="20"/>
                <w:szCs w:val="20"/>
                <w:lang w:val="en-GB"/>
              </w:rPr>
              <w:t xml:space="preserve">No. </w:t>
            </w:r>
            <w:r w:rsidR="00E50B1D" w:rsidRPr="009B39EC">
              <w:rPr>
                <w:rFonts w:ascii="Arial" w:hAnsi="Arial" w:cs="Arial"/>
                <w:sz w:val="20"/>
                <w:szCs w:val="20"/>
                <w:lang w:val="en-GB"/>
              </w:rPr>
              <w:t>35/2017 “</w:t>
            </w:r>
            <w:r w:rsidRPr="009B39EC">
              <w:rPr>
                <w:rFonts w:ascii="Arial" w:hAnsi="Arial" w:cs="Arial"/>
                <w:sz w:val="20"/>
                <w:szCs w:val="20"/>
                <w:lang w:val="en-GB"/>
              </w:rPr>
              <w:t>On some changes and supplements to Law No</w:t>
            </w:r>
            <w:r w:rsidR="00E50B1D" w:rsidRPr="009B39EC">
              <w:rPr>
                <w:rFonts w:ascii="Arial" w:hAnsi="Arial" w:cs="Arial"/>
                <w:sz w:val="20"/>
                <w:szCs w:val="20"/>
                <w:lang w:val="en-GB"/>
              </w:rPr>
              <w:t>.7905, dat</w:t>
            </w:r>
            <w:r w:rsidRPr="009B39EC">
              <w:rPr>
                <w:rFonts w:ascii="Arial" w:hAnsi="Arial" w:cs="Arial"/>
                <w:sz w:val="20"/>
                <w:szCs w:val="20"/>
                <w:lang w:val="en-GB"/>
              </w:rPr>
              <w:t>ed</w:t>
            </w:r>
            <w:r w:rsidR="00E50B1D" w:rsidRPr="009B39EC">
              <w:rPr>
                <w:rFonts w:ascii="Arial" w:hAnsi="Arial" w:cs="Arial"/>
                <w:sz w:val="20"/>
                <w:szCs w:val="20"/>
                <w:lang w:val="en-GB"/>
              </w:rPr>
              <w:t xml:space="preserve"> 21.03.1995, </w:t>
            </w:r>
            <w:r w:rsidRPr="009B39EC">
              <w:rPr>
                <w:rFonts w:ascii="Arial" w:hAnsi="Arial" w:cs="Arial"/>
                <w:sz w:val="20"/>
                <w:szCs w:val="20"/>
                <w:lang w:val="en-GB"/>
              </w:rPr>
              <w:t>The Criminal Procedure Code</w:t>
            </w:r>
            <w:r w:rsidR="00E50B1D" w:rsidRPr="009B39EC">
              <w:rPr>
                <w:rFonts w:ascii="Arial" w:hAnsi="Arial" w:cs="Arial"/>
                <w:sz w:val="20"/>
                <w:szCs w:val="20"/>
                <w:lang w:val="en-GB"/>
              </w:rPr>
              <w:t xml:space="preserve">, </w:t>
            </w:r>
            <w:r w:rsidRPr="009B39EC">
              <w:rPr>
                <w:rFonts w:ascii="Arial" w:hAnsi="Arial" w:cs="Arial"/>
                <w:sz w:val="20"/>
                <w:szCs w:val="20"/>
                <w:lang w:val="en-GB"/>
              </w:rPr>
              <w:t xml:space="preserve">as amended, </w:t>
            </w:r>
            <w:r w:rsidR="006E253C" w:rsidRPr="009B39EC">
              <w:rPr>
                <w:rFonts w:ascii="Arial" w:hAnsi="Arial" w:cs="Arial"/>
                <w:sz w:val="20"/>
                <w:szCs w:val="20"/>
                <w:lang w:val="en-GB"/>
              </w:rPr>
              <w:t xml:space="preserve">contains new legal provisions which considerably improve </w:t>
            </w:r>
            <w:r w:rsidR="006E253C" w:rsidRPr="009B39EC">
              <w:rPr>
                <w:rFonts w:ascii="Arial" w:hAnsi="Arial" w:cs="Arial"/>
                <w:sz w:val="20"/>
                <w:szCs w:val="20"/>
                <w:lang w:val="en-GB"/>
              </w:rPr>
              <w:lastRenderedPageBreak/>
              <w:t>the position of victims in criminal proceedings. It also contains special procedural rights for minor victims, victims of sexual abuse and trafficking in human beings</w:t>
            </w:r>
            <w:r w:rsidR="00E50B1D" w:rsidRPr="009B39EC">
              <w:rPr>
                <w:rFonts w:ascii="Arial" w:hAnsi="Arial" w:cs="Arial"/>
                <w:sz w:val="20"/>
                <w:szCs w:val="20"/>
                <w:lang w:val="en-GB"/>
              </w:rPr>
              <w:t>.</w:t>
            </w:r>
          </w:p>
          <w:p w14:paraId="2CB22CDF" w14:textId="778945D2" w:rsidR="00E50B1D" w:rsidRPr="009B39EC" w:rsidRDefault="00F9612E" w:rsidP="00E50B1D">
            <w:pPr>
              <w:spacing w:after="0" w:line="240" w:lineRule="auto"/>
              <w:jc w:val="both"/>
              <w:rPr>
                <w:rFonts w:ascii="Arial" w:eastAsia="Times New Roman" w:hAnsi="Arial" w:cs="Arial"/>
                <w:sz w:val="20"/>
                <w:szCs w:val="20"/>
                <w:lang w:val="en-GB"/>
              </w:rPr>
            </w:pPr>
            <w:r w:rsidRPr="009B39EC">
              <w:rPr>
                <w:rFonts w:ascii="Arial" w:eastAsia="Times New Roman" w:hAnsi="Arial" w:cs="Arial"/>
                <w:sz w:val="20"/>
                <w:szCs w:val="20"/>
                <w:lang w:val="en-GB"/>
              </w:rPr>
              <w:t>Law No.</w:t>
            </w:r>
            <w:r w:rsidR="00E50B1D" w:rsidRPr="009B39EC">
              <w:rPr>
                <w:rFonts w:ascii="Arial" w:eastAsia="Times New Roman" w:hAnsi="Arial" w:cs="Arial"/>
                <w:sz w:val="20"/>
                <w:szCs w:val="20"/>
                <w:lang w:val="en-GB"/>
              </w:rPr>
              <w:t xml:space="preserve"> 35/2020 “</w:t>
            </w:r>
            <w:r w:rsidR="006E253C" w:rsidRPr="009B39EC">
              <w:rPr>
                <w:rFonts w:ascii="Arial" w:eastAsia="Times New Roman" w:hAnsi="Arial" w:cs="Arial"/>
                <w:sz w:val="20"/>
                <w:szCs w:val="20"/>
                <w:lang w:val="en-GB"/>
              </w:rPr>
              <w:t>On an amendment to Law No</w:t>
            </w:r>
            <w:r w:rsidR="00E50B1D" w:rsidRPr="009B39EC">
              <w:rPr>
                <w:rFonts w:ascii="Arial" w:eastAsia="Times New Roman" w:hAnsi="Arial" w:cs="Arial"/>
                <w:sz w:val="20"/>
                <w:szCs w:val="20"/>
                <w:lang w:val="en-GB"/>
              </w:rPr>
              <w:t>. 7895, dat</w:t>
            </w:r>
            <w:r w:rsidR="006E253C" w:rsidRPr="009B39EC">
              <w:rPr>
                <w:rFonts w:ascii="Arial" w:eastAsia="Times New Roman" w:hAnsi="Arial" w:cs="Arial"/>
                <w:sz w:val="20"/>
                <w:szCs w:val="20"/>
                <w:lang w:val="en-GB"/>
              </w:rPr>
              <w:t xml:space="preserve">ed </w:t>
            </w:r>
            <w:r w:rsidR="00E50B1D" w:rsidRPr="009B39EC">
              <w:rPr>
                <w:rFonts w:ascii="Arial" w:eastAsia="Times New Roman" w:hAnsi="Arial" w:cs="Arial"/>
                <w:sz w:val="20"/>
                <w:szCs w:val="20"/>
                <w:lang w:val="en-GB"/>
              </w:rPr>
              <w:t xml:space="preserve">27.01.1995, </w:t>
            </w:r>
            <w:r w:rsidR="006E253C" w:rsidRPr="009B39EC">
              <w:rPr>
                <w:rFonts w:ascii="Arial" w:eastAsia="Times New Roman" w:hAnsi="Arial" w:cs="Arial"/>
                <w:sz w:val="20"/>
                <w:szCs w:val="20"/>
                <w:lang w:val="en-GB"/>
              </w:rPr>
              <w:t>The Criminal Code of the Republic of Albania</w:t>
            </w:r>
            <w:r w:rsidR="00931785" w:rsidRPr="009B39EC">
              <w:rPr>
                <w:rFonts w:ascii="Arial" w:eastAsia="Times New Roman" w:hAnsi="Arial" w:cs="Arial"/>
                <w:sz w:val="20"/>
                <w:szCs w:val="20"/>
                <w:lang w:val="en-GB"/>
              </w:rPr>
              <w:t>”</w:t>
            </w:r>
            <w:r w:rsidR="00E50B1D" w:rsidRPr="009B39EC">
              <w:rPr>
                <w:rFonts w:ascii="Arial" w:eastAsia="Times New Roman" w:hAnsi="Arial" w:cs="Arial"/>
                <w:sz w:val="20"/>
                <w:szCs w:val="20"/>
                <w:lang w:val="en-GB"/>
              </w:rPr>
              <w:t xml:space="preserve"> </w:t>
            </w:r>
            <w:r w:rsidR="006E253C" w:rsidRPr="009B39EC">
              <w:rPr>
                <w:rFonts w:ascii="Arial" w:eastAsia="Times New Roman" w:hAnsi="Arial" w:cs="Arial"/>
                <w:sz w:val="20"/>
                <w:szCs w:val="20"/>
                <w:lang w:val="en-GB"/>
              </w:rPr>
              <w:t xml:space="preserve">as amended, introduces the criminalisation of psychological </w:t>
            </w:r>
            <w:proofErr w:type="gramStart"/>
            <w:r w:rsidR="006E253C" w:rsidRPr="009B39EC">
              <w:rPr>
                <w:rFonts w:ascii="Arial" w:eastAsia="Times New Roman" w:hAnsi="Arial" w:cs="Arial"/>
                <w:sz w:val="20"/>
                <w:szCs w:val="20"/>
                <w:lang w:val="en-GB"/>
              </w:rPr>
              <w:t>violence</w:t>
            </w:r>
            <w:proofErr w:type="gramEnd"/>
            <w:r w:rsidR="006E253C" w:rsidRPr="009B39EC">
              <w:rPr>
                <w:rFonts w:ascii="Arial" w:eastAsia="Times New Roman" w:hAnsi="Arial" w:cs="Arial"/>
                <w:sz w:val="20"/>
                <w:szCs w:val="20"/>
                <w:lang w:val="en-GB"/>
              </w:rPr>
              <w:t xml:space="preserve"> and expands the categories of protected persons, providing for the necessary protection of persons in an intimate relationship or former intimate relationship. </w:t>
            </w:r>
            <w:r w:rsidR="00C22826" w:rsidRPr="009B39EC">
              <w:rPr>
                <w:rFonts w:ascii="Arial" w:eastAsia="Times New Roman" w:hAnsi="Arial" w:cs="Arial"/>
                <w:sz w:val="20"/>
                <w:szCs w:val="20"/>
                <w:lang w:val="en-GB"/>
              </w:rPr>
              <w:t xml:space="preserve">The wording of this Article is aligned with Article 3 of the Istanbul Convention and the legal amendments introduced in 2018 to the law on domestic violence. </w:t>
            </w:r>
            <w:r w:rsidR="001832B3" w:rsidRPr="009B39EC">
              <w:rPr>
                <w:rFonts w:ascii="Arial" w:eastAsia="Times New Roman" w:hAnsi="Arial" w:cs="Arial"/>
                <w:sz w:val="20"/>
                <w:szCs w:val="20"/>
                <w:lang w:val="en-GB"/>
              </w:rPr>
              <w:t xml:space="preserve">In addition, the law provides </w:t>
            </w:r>
            <w:r w:rsidR="00C22826" w:rsidRPr="009B39EC">
              <w:rPr>
                <w:rFonts w:ascii="Arial" w:eastAsia="Times New Roman" w:hAnsi="Arial" w:cs="Arial"/>
                <w:sz w:val="20"/>
                <w:szCs w:val="20"/>
                <w:lang w:val="en-GB"/>
              </w:rPr>
              <w:t>for harsher</w:t>
            </w:r>
            <w:r w:rsidR="001832B3" w:rsidRPr="009B39EC">
              <w:rPr>
                <w:rFonts w:ascii="Arial" w:eastAsia="Times New Roman" w:hAnsi="Arial" w:cs="Arial"/>
                <w:sz w:val="20"/>
                <w:szCs w:val="20"/>
                <w:lang w:val="en-GB"/>
              </w:rPr>
              <w:t xml:space="preserve"> punishment</w:t>
            </w:r>
            <w:r w:rsidR="00931785" w:rsidRPr="009B39EC">
              <w:rPr>
                <w:rFonts w:ascii="Arial" w:eastAsia="Times New Roman" w:hAnsi="Arial" w:cs="Arial"/>
                <w:sz w:val="20"/>
                <w:szCs w:val="20"/>
                <w:lang w:val="en-GB"/>
              </w:rPr>
              <w:t>s</w:t>
            </w:r>
            <w:r w:rsidR="001832B3" w:rsidRPr="009B39EC">
              <w:rPr>
                <w:rFonts w:ascii="Arial" w:eastAsia="Times New Roman" w:hAnsi="Arial" w:cs="Arial"/>
                <w:sz w:val="20"/>
                <w:szCs w:val="20"/>
                <w:lang w:val="en-GB"/>
              </w:rPr>
              <w:t xml:space="preserve"> for some </w:t>
            </w:r>
            <w:r w:rsidR="00924683" w:rsidRPr="009B39EC">
              <w:rPr>
                <w:rFonts w:ascii="Arial" w:eastAsia="Times New Roman" w:hAnsi="Arial" w:cs="Arial"/>
                <w:sz w:val="20"/>
                <w:szCs w:val="20"/>
                <w:lang w:val="en-GB"/>
              </w:rPr>
              <w:t>forms</w:t>
            </w:r>
            <w:r w:rsidR="001832B3" w:rsidRPr="009B39EC">
              <w:rPr>
                <w:rFonts w:ascii="Arial" w:eastAsia="Times New Roman" w:hAnsi="Arial" w:cs="Arial"/>
                <w:sz w:val="20"/>
                <w:szCs w:val="20"/>
                <w:lang w:val="en-GB"/>
              </w:rPr>
              <w:t xml:space="preserve"> of this criminal act</w:t>
            </w:r>
            <w:r w:rsidR="00E50B1D" w:rsidRPr="009B39EC">
              <w:rPr>
                <w:rFonts w:ascii="Arial" w:eastAsia="Times New Roman" w:hAnsi="Arial" w:cs="Arial"/>
                <w:sz w:val="20"/>
                <w:szCs w:val="20"/>
                <w:lang w:val="en-GB"/>
              </w:rPr>
              <w:t xml:space="preserve">.  </w:t>
            </w:r>
          </w:p>
          <w:p w14:paraId="4A703310" w14:textId="4426EC00" w:rsidR="00E50B1D" w:rsidRPr="009B39EC" w:rsidRDefault="001832B3"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However, there is a need for further improvements to </w:t>
            </w:r>
            <w:r w:rsidR="00931785" w:rsidRPr="009B39EC">
              <w:rPr>
                <w:rFonts w:ascii="Arial" w:hAnsi="Arial" w:cs="Arial"/>
                <w:sz w:val="20"/>
                <w:szCs w:val="20"/>
                <w:lang w:val="en-GB"/>
              </w:rPr>
              <w:t xml:space="preserve">the </w:t>
            </w:r>
            <w:r w:rsidRPr="009B39EC">
              <w:rPr>
                <w:rFonts w:ascii="Arial" w:hAnsi="Arial" w:cs="Arial"/>
                <w:sz w:val="20"/>
                <w:szCs w:val="20"/>
                <w:lang w:val="en-GB"/>
              </w:rPr>
              <w:t xml:space="preserve">criminal </w:t>
            </w:r>
            <w:r w:rsidR="00C22826" w:rsidRPr="009B39EC">
              <w:rPr>
                <w:rFonts w:ascii="Arial" w:hAnsi="Arial" w:cs="Arial"/>
                <w:sz w:val="20"/>
                <w:szCs w:val="20"/>
                <w:lang w:val="en-GB"/>
              </w:rPr>
              <w:t>law,</w:t>
            </w:r>
            <w:r w:rsidRPr="009B39EC">
              <w:rPr>
                <w:rFonts w:ascii="Arial" w:hAnsi="Arial" w:cs="Arial"/>
                <w:sz w:val="20"/>
                <w:szCs w:val="20"/>
                <w:lang w:val="en-GB"/>
              </w:rPr>
              <w:t xml:space="preserve"> </w:t>
            </w:r>
            <w:proofErr w:type="gramStart"/>
            <w:r w:rsidRPr="009B39EC">
              <w:rPr>
                <w:rFonts w:ascii="Arial" w:hAnsi="Arial" w:cs="Arial"/>
                <w:sz w:val="20"/>
                <w:szCs w:val="20"/>
                <w:lang w:val="en-GB"/>
              </w:rPr>
              <w:t>in order to</w:t>
            </w:r>
            <w:proofErr w:type="gramEnd"/>
            <w:r w:rsidRPr="009B39EC">
              <w:rPr>
                <w:rFonts w:ascii="Arial" w:hAnsi="Arial" w:cs="Arial"/>
                <w:sz w:val="20"/>
                <w:szCs w:val="20"/>
                <w:lang w:val="en-GB"/>
              </w:rPr>
              <w:t xml:space="preserve"> fulfil GREVIO’s </w:t>
            </w:r>
            <w:r w:rsidR="00924683" w:rsidRPr="009B39EC">
              <w:rPr>
                <w:rFonts w:ascii="Arial" w:hAnsi="Arial" w:cs="Arial"/>
                <w:sz w:val="20"/>
                <w:szCs w:val="20"/>
                <w:lang w:val="en-GB"/>
              </w:rPr>
              <w:t>urgent recommendat</w:t>
            </w:r>
            <w:r w:rsidR="00A11D76" w:rsidRPr="009B39EC">
              <w:rPr>
                <w:rFonts w:ascii="Arial" w:hAnsi="Arial" w:cs="Arial"/>
                <w:sz w:val="20"/>
                <w:szCs w:val="20"/>
                <w:lang w:val="en-GB"/>
              </w:rPr>
              <w:t xml:space="preserve">ion </w:t>
            </w:r>
            <w:r w:rsidRPr="009B39EC">
              <w:rPr>
                <w:rFonts w:ascii="Arial" w:hAnsi="Arial" w:cs="Arial"/>
                <w:sz w:val="20"/>
                <w:szCs w:val="20"/>
                <w:lang w:val="en-GB"/>
              </w:rPr>
              <w:t xml:space="preserve">12, paragraph </w:t>
            </w:r>
            <w:r w:rsidR="00E50B1D" w:rsidRPr="009B39EC">
              <w:rPr>
                <w:rFonts w:ascii="Arial" w:hAnsi="Arial" w:cs="Arial"/>
                <w:sz w:val="20"/>
                <w:szCs w:val="20"/>
                <w:lang w:val="en-GB"/>
              </w:rPr>
              <w:t>139.</w:t>
            </w:r>
          </w:p>
        </w:tc>
      </w:tr>
      <w:tr w:rsidR="00E50B1D" w:rsidRPr="009B39EC" w14:paraId="7CE47B6F" w14:textId="77777777" w:rsidTr="00491D1F">
        <w:tc>
          <w:tcPr>
            <w:tcW w:w="2628" w:type="dxa"/>
          </w:tcPr>
          <w:p w14:paraId="09E24E29" w14:textId="65107C3B"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lastRenderedPageBreak/>
              <w:t xml:space="preserve">2. </w:t>
            </w:r>
            <w:r w:rsidR="00F9612E" w:rsidRPr="009B39EC">
              <w:rPr>
                <w:rFonts w:ascii="Arial" w:hAnsi="Arial" w:cs="Arial"/>
                <w:sz w:val="20"/>
                <w:szCs w:val="20"/>
                <w:lang w:val="en-GB" w:eastAsia="sq-AL"/>
              </w:rPr>
              <w:t>By the end of 2020, the number of punished and rehabilitated perpetrators shall have increased by 30</w:t>
            </w:r>
            <w:r w:rsidR="007515B1" w:rsidRPr="009B39EC">
              <w:rPr>
                <w:rFonts w:ascii="Arial" w:hAnsi="Arial" w:cs="Arial"/>
                <w:sz w:val="20"/>
                <w:szCs w:val="20"/>
                <w:lang w:val="en-GB" w:eastAsia="sq-AL"/>
              </w:rPr>
              <w:t>%</w:t>
            </w:r>
            <w:r w:rsidR="00F9612E" w:rsidRPr="009B39EC">
              <w:rPr>
                <w:rFonts w:ascii="Arial" w:hAnsi="Arial" w:cs="Arial"/>
                <w:sz w:val="20"/>
                <w:szCs w:val="20"/>
                <w:lang w:val="en-GB" w:eastAsia="sq-AL"/>
              </w:rPr>
              <w:t>.</w:t>
            </w:r>
          </w:p>
        </w:tc>
        <w:tc>
          <w:tcPr>
            <w:tcW w:w="6367" w:type="dxa"/>
          </w:tcPr>
          <w:p w14:paraId="49DD2A8C" w14:textId="6CAA6022" w:rsidR="00E50B1D" w:rsidRPr="009B39EC" w:rsidRDefault="002153C9" w:rsidP="00E50B1D">
            <w:pPr>
              <w:spacing w:after="0" w:line="240" w:lineRule="auto"/>
              <w:jc w:val="both"/>
              <w:rPr>
                <w:rFonts w:ascii="Arial" w:hAnsi="Arial" w:cs="Arial"/>
                <w:b/>
                <w:sz w:val="20"/>
                <w:szCs w:val="20"/>
                <w:lang w:val="en-GB"/>
              </w:rPr>
            </w:pPr>
            <w:r w:rsidRPr="009B39EC">
              <w:rPr>
                <w:rFonts w:ascii="Arial" w:hAnsi="Arial" w:cs="Arial"/>
                <w:b/>
                <w:sz w:val="20"/>
                <w:szCs w:val="20"/>
                <w:lang w:val="en-GB"/>
              </w:rPr>
              <w:t xml:space="preserve">There </w:t>
            </w:r>
            <w:r w:rsidR="00DF0096" w:rsidRPr="009B39EC">
              <w:rPr>
                <w:rFonts w:ascii="Arial" w:hAnsi="Arial" w:cs="Arial"/>
                <w:b/>
                <w:sz w:val="20"/>
                <w:szCs w:val="20"/>
                <w:lang w:val="en-GB"/>
              </w:rPr>
              <w:t xml:space="preserve">has been </w:t>
            </w:r>
            <w:r w:rsidRPr="009B39EC">
              <w:rPr>
                <w:rFonts w:ascii="Arial" w:hAnsi="Arial" w:cs="Arial"/>
                <w:b/>
                <w:sz w:val="20"/>
                <w:szCs w:val="20"/>
                <w:lang w:val="en-GB"/>
              </w:rPr>
              <w:t xml:space="preserve">an increase in the number of punished and subsequently rehabilitated perpetrators; </w:t>
            </w:r>
            <w:r w:rsidR="00C22826" w:rsidRPr="009B39EC">
              <w:rPr>
                <w:rFonts w:ascii="Arial" w:hAnsi="Arial" w:cs="Arial"/>
                <w:b/>
                <w:sz w:val="20"/>
                <w:szCs w:val="20"/>
                <w:lang w:val="en-GB"/>
              </w:rPr>
              <w:t>however,</w:t>
            </w:r>
            <w:r w:rsidRPr="009B39EC">
              <w:rPr>
                <w:rFonts w:ascii="Arial" w:hAnsi="Arial" w:cs="Arial"/>
                <w:b/>
                <w:sz w:val="20"/>
                <w:szCs w:val="20"/>
                <w:lang w:val="en-GB"/>
              </w:rPr>
              <w:t xml:space="preserve"> a thorough evaluation of the existing services should be carried out</w:t>
            </w:r>
            <w:r w:rsidR="00931785" w:rsidRPr="009B39EC">
              <w:rPr>
                <w:rFonts w:ascii="Arial" w:hAnsi="Arial" w:cs="Arial"/>
                <w:b/>
                <w:sz w:val="20"/>
                <w:szCs w:val="20"/>
                <w:lang w:val="en-GB"/>
              </w:rPr>
              <w:t xml:space="preserve">, which will </w:t>
            </w:r>
            <w:r w:rsidRPr="009B39EC">
              <w:rPr>
                <w:rFonts w:ascii="Arial" w:hAnsi="Arial" w:cs="Arial"/>
                <w:b/>
                <w:sz w:val="20"/>
                <w:szCs w:val="20"/>
                <w:lang w:val="en-GB"/>
              </w:rPr>
              <w:t>serve as a baseline for future calculations</w:t>
            </w:r>
            <w:r w:rsidR="00E50B1D" w:rsidRPr="009B39EC">
              <w:rPr>
                <w:rFonts w:ascii="Arial" w:hAnsi="Arial" w:cs="Arial"/>
                <w:b/>
                <w:sz w:val="20"/>
                <w:szCs w:val="20"/>
                <w:lang w:val="en-GB"/>
              </w:rPr>
              <w:t>.</w:t>
            </w:r>
          </w:p>
          <w:p w14:paraId="44B62AC7" w14:textId="2232244C" w:rsidR="00E50B1D" w:rsidRPr="009B39EC" w:rsidRDefault="00DF0096"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In the period</w:t>
            </w:r>
            <w:r w:rsidR="00E50B1D" w:rsidRPr="009B39EC">
              <w:rPr>
                <w:rFonts w:ascii="Arial" w:hAnsi="Arial" w:cs="Arial"/>
                <w:sz w:val="20"/>
                <w:szCs w:val="20"/>
                <w:lang w:val="en-GB"/>
              </w:rPr>
              <w:t xml:space="preserve"> 2016-</w:t>
            </w:r>
            <w:r w:rsidRPr="009B39EC">
              <w:rPr>
                <w:rFonts w:ascii="Arial" w:hAnsi="Arial" w:cs="Arial"/>
                <w:sz w:val="20"/>
                <w:szCs w:val="20"/>
                <w:lang w:val="en-GB"/>
              </w:rPr>
              <w:t>2</w:t>
            </w:r>
            <w:r w:rsidR="00E50B1D" w:rsidRPr="009B39EC">
              <w:rPr>
                <w:rFonts w:ascii="Arial" w:hAnsi="Arial" w:cs="Arial"/>
                <w:sz w:val="20"/>
                <w:szCs w:val="20"/>
                <w:lang w:val="en-GB"/>
              </w:rPr>
              <w:t xml:space="preserve">020, </w:t>
            </w:r>
            <w:r w:rsidRPr="009B39EC">
              <w:rPr>
                <w:rFonts w:ascii="Arial" w:hAnsi="Arial" w:cs="Arial"/>
                <w:sz w:val="20"/>
                <w:szCs w:val="20"/>
                <w:lang w:val="en-GB"/>
              </w:rPr>
              <w:t xml:space="preserve">the Counselling Line for Men and Boys provided counselling services to </w:t>
            </w:r>
            <w:r w:rsidR="00E50B1D" w:rsidRPr="009B39EC">
              <w:rPr>
                <w:rFonts w:ascii="Arial" w:hAnsi="Arial" w:cs="Arial"/>
                <w:sz w:val="20"/>
                <w:szCs w:val="20"/>
                <w:lang w:val="en-GB"/>
              </w:rPr>
              <w:t>366 person</w:t>
            </w:r>
            <w:r w:rsidRPr="009B39EC">
              <w:rPr>
                <w:rFonts w:ascii="Arial" w:hAnsi="Arial" w:cs="Arial"/>
                <w:sz w:val="20"/>
                <w:szCs w:val="20"/>
                <w:lang w:val="en-GB"/>
              </w:rPr>
              <w:t xml:space="preserve">s who voluntarily opted to participate in the program. Another 23 individuals who participated in the programme were referred to the Counselling Line by the courts and their participation in perpetrator rehabilitation programmes was </w:t>
            </w:r>
            <w:r w:rsidR="00931785" w:rsidRPr="009B39EC">
              <w:rPr>
                <w:rFonts w:ascii="Arial" w:hAnsi="Arial" w:cs="Arial"/>
                <w:sz w:val="20"/>
                <w:szCs w:val="20"/>
                <w:lang w:val="en-GB"/>
              </w:rPr>
              <w:t>mandatory</w:t>
            </w:r>
            <w:r w:rsidR="00E50B1D" w:rsidRPr="009B39EC">
              <w:rPr>
                <w:rFonts w:ascii="Arial" w:hAnsi="Arial" w:cs="Arial"/>
                <w:sz w:val="20"/>
                <w:szCs w:val="20"/>
                <w:lang w:val="en-GB"/>
              </w:rPr>
              <w:t xml:space="preserve">. </w:t>
            </w:r>
          </w:p>
          <w:p w14:paraId="1B94000B" w14:textId="55DEAC48" w:rsidR="00E50B1D" w:rsidRPr="009B39EC" w:rsidRDefault="00DF0096" w:rsidP="00E50B1D">
            <w:pPr>
              <w:shd w:val="clear" w:color="auto" w:fill="FFFFFF"/>
              <w:spacing w:after="0" w:line="240" w:lineRule="auto"/>
              <w:jc w:val="both"/>
              <w:rPr>
                <w:rFonts w:ascii="Arial" w:hAnsi="Arial" w:cs="Arial"/>
                <w:color w:val="000000"/>
                <w:sz w:val="20"/>
                <w:szCs w:val="20"/>
                <w:lang w:val="en-GB"/>
              </w:rPr>
            </w:pPr>
            <w:r w:rsidRPr="009B39EC">
              <w:rPr>
                <w:rFonts w:ascii="Arial" w:eastAsia="Times New Roman" w:hAnsi="Arial" w:cs="Arial"/>
                <w:color w:val="212121"/>
                <w:sz w:val="20"/>
                <w:szCs w:val="20"/>
                <w:lang w:val="en-GB"/>
              </w:rPr>
              <w:t>The Probation Service reports that</w:t>
            </w:r>
            <w:r w:rsidR="00931785" w:rsidRPr="009B39EC">
              <w:rPr>
                <w:rFonts w:ascii="Arial" w:eastAsia="Times New Roman" w:hAnsi="Arial" w:cs="Arial"/>
                <w:color w:val="212121"/>
                <w:sz w:val="20"/>
                <w:szCs w:val="20"/>
                <w:lang w:val="en-GB"/>
              </w:rPr>
              <w:t xml:space="preserve"> it made 10 referrals to the Counselling Line for Men and Boys</w:t>
            </w:r>
            <w:r w:rsidRPr="009B39EC">
              <w:rPr>
                <w:rFonts w:ascii="Arial" w:eastAsia="Times New Roman" w:hAnsi="Arial" w:cs="Arial"/>
                <w:color w:val="212121"/>
                <w:sz w:val="20"/>
                <w:szCs w:val="20"/>
                <w:lang w:val="en-GB"/>
              </w:rPr>
              <w:t xml:space="preserve"> in the period</w:t>
            </w:r>
            <w:r w:rsidR="00E50B1D" w:rsidRPr="009B39EC">
              <w:rPr>
                <w:rFonts w:ascii="Arial" w:eastAsia="Times New Roman" w:hAnsi="Arial" w:cs="Arial"/>
                <w:color w:val="212121"/>
                <w:sz w:val="20"/>
                <w:szCs w:val="20"/>
                <w:lang w:val="en-GB"/>
              </w:rPr>
              <w:t xml:space="preserve"> </w:t>
            </w:r>
            <w:r w:rsidRPr="009B39EC">
              <w:rPr>
                <w:rFonts w:ascii="Arial" w:eastAsia="Times New Roman" w:hAnsi="Arial" w:cs="Arial"/>
                <w:color w:val="212121"/>
                <w:sz w:val="20"/>
                <w:szCs w:val="20"/>
                <w:lang w:val="en-GB"/>
              </w:rPr>
              <w:t>January-December</w:t>
            </w:r>
            <w:r w:rsidR="00E50B1D" w:rsidRPr="009B39EC">
              <w:rPr>
                <w:rFonts w:ascii="Arial" w:eastAsia="Times New Roman" w:hAnsi="Arial" w:cs="Arial"/>
                <w:color w:val="212121"/>
                <w:sz w:val="20"/>
                <w:szCs w:val="20"/>
                <w:lang w:val="en-GB"/>
              </w:rPr>
              <w:t xml:space="preserve"> 2018</w:t>
            </w:r>
            <w:r w:rsidR="00E1641F" w:rsidRPr="009B39EC">
              <w:rPr>
                <w:rFonts w:ascii="Arial" w:eastAsia="Times New Roman" w:hAnsi="Arial" w:cs="Arial"/>
                <w:color w:val="212121"/>
                <w:sz w:val="20"/>
                <w:szCs w:val="20"/>
                <w:lang w:val="en-GB"/>
              </w:rPr>
              <w:t xml:space="preserve">. Of those, </w:t>
            </w:r>
            <w:r w:rsidR="00D12A07" w:rsidRPr="009B39EC">
              <w:rPr>
                <w:rFonts w:ascii="Arial" w:eastAsia="Times New Roman" w:hAnsi="Arial" w:cs="Arial"/>
                <w:color w:val="212121"/>
                <w:sz w:val="20"/>
                <w:szCs w:val="20"/>
                <w:lang w:val="en-GB"/>
              </w:rPr>
              <w:t xml:space="preserve">6 </w:t>
            </w:r>
            <w:r w:rsidR="00E1641F" w:rsidRPr="009B39EC">
              <w:rPr>
                <w:rFonts w:ascii="Arial" w:eastAsia="Times New Roman" w:hAnsi="Arial" w:cs="Arial"/>
                <w:color w:val="212121"/>
                <w:sz w:val="20"/>
                <w:szCs w:val="20"/>
                <w:lang w:val="en-GB"/>
              </w:rPr>
              <w:t xml:space="preserve">men </w:t>
            </w:r>
            <w:r w:rsidR="00D12A07" w:rsidRPr="009B39EC">
              <w:rPr>
                <w:rFonts w:ascii="Arial" w:eastAsia="Times New Roman" w:hAnsi="Arial" w:cs="Arial"/>
                <w:color w:val="212121"/>
                <w:sz w:val="20"/>
                <w:szCs w:val="20"/>
                <w:lang w:val="en-GB"/>
              </w:rPr>
              <w:t>agreed to participate and received individual treatment at the service</w:t>
            </w:r>
            <w:r w:rsidR="00E50B1D" w:rsidRPr="009B39EC">
              <w:rPr>
                <w:rFonts w:ascii="Arial" w:eastAsia="Times New Roman" w:hAnsi="Arial" w:cs="Arial"/>
                <w:color w:val="212121"/>
                <w:sz w:val="20"/>
                <w:szCs w:val="20"/>
                <w:lang w:val="en-GB"/>
              </w:rPr>
              <w:t xml:space="preserve">. </w:t>
            </w:r>
            <w:r w:rsidR="00D12A07" w:rsidRPr="009B39EC">
              <w:rPr>
                <w:rFonts w:ascii="Arial" w:eastAsia="Times New Roman" w:hAnsi="Arial" w:cs="Arial"/>
                <w:color w:val="212121"/>
                <w:sz w:val="20"/>
                <w:szCs w:val="20"/>
                <w:lang w:val="en-GB"/>
              </w:rPr>
              <w:t xml:space="preserve">Two of them have </w:t>
            </w:r>
            <w:r w:rsidR="00B74B2A" w:rsidRPr="009B39EC">
              <w:rPr>
                <w:rFonts w:ascii="Arial" w:eastAsia="Times New Roman" w:hAnsi="Arial" w:cs="Arial"/>
                <w:color w:val="212121"/>
                <w:sz w:val="20"/>
                <w:szCs w:val="20"/>
                <w:lang w:val="en-GB"/>
              </w:rPr>
              <w:t xml:space="preserve">now </w:t>
            </w:r>
            <w:r w:rsidR="00D12A07" w:rsidRPr="009B39EC">
              <w:rPr>
                <w:rFonts w:ascii="Arial" w:eastAsia="Times New Roman" w:hAnsi="Arial" w:cs="Arial"/>
                <w:color w:val="212121"/>
                <w:sz w:val="20"/>
                <w:szCs w:val="20"/>
                <w:lang w:val="en-GB"/>
              </w:rPr>
              <w:t xml:space="preserve">completed the programme, </w:t>
            </w:r>
            <w:r w:rsidR="00B74B2A" w:rsidRPr="009B39EC">
              <w:rPr>
                <w:rFonts w:ascii="Arial" w:eastAsia="Times New Roman" w:hAnsi="Arial" w:cs="Arial"/>
                <w:color w:val="212121"/>
                <w:sz w:val="20"/>
                <w:szCs w:val="20"/>
                <w:lang w:val="en-GB"/>
              </w:rPr>
              <w:t>one is attending</w:t>
            </w:r>
            <w:r w:rsidR="00D12A07" w:rsidRPr="009B39EC">
              <w:rPr>
                <w:rFonts w:ascii="Arial" w:eastAsia="Times New Roman" w:hAnsi="Arial" w:cs="Arial"/>
                <w:color w:val="212121"/>
                <w:sz w:val="20"/>
                <w:szCs w:val="20"/>
                <w:lang w:val="en-GB"/>
              </w:rPr>
              <w:t xml:space="preserve"> the follow-up programme, while a fourth participa</w:t>
            </w:r>
            <w:r w:rsidR="00B74B2A" w:rsidRPr="009B39EC">
              <w:rPr>
                <w:rFonts w:ascii="Arial" w:eastAsia="Times New Roman" w:hAnsi="Arial" w:cs="Arial"/>
                <w:color w:val="212121"/>
                <w:sz w:val="20"/>
                <w:szCs w:val="20"/>
                <w:lang w:val="en-GB"/>
              </w:rPr>
              <w:t>n</w:t>
            </w:r>
            <w:r w:rsidR="00D12A07" w:rsidRPr="009B39EC">
              <w:rPr>
                <w:rFonts w:ascii="Arial" w:eastAsia="Times New Roman" w:hAnsi="Arial" w:cs="Arial"/>
                <w:color w:val="212121"/>
                <w:sz w:val="20"/>
                <w:szCs w:val="20"/>
                <w:lang w:val="en-GB"/>
              </w:rPr>
              <w:t xml:space="preserve">t </w:t>
            </w:r>
            <w:r w:rsidR="00B74B2A" w:rsidRPr="009B39EC">
              <w:rPr>
                <w:rFonts w:ascii="Arial" w:eastAsia="Times New Roman" w:hAnsi="Arial" w:cs="Arial"/>
                <w:color w:val="212121"/>
                <w:sz w:val="20"/>
                <w:szCs w:val="20"/>
                <w:lang w:val="en-GB"/>
              </w:rPr>
              <w:t xml:space="preserve">decided to stop </w:t>
            </w:r>
            <w:r w:rsidR="00924683" w:rsidRPr="009B39EC">
              <w:rPr>
                <w:rFonts w:ascii="Arial" w:eastAsia="Times New Roman" w:hAnsi="Arial" w:cs="Arial"/>
                <w:color w:val="212121"/>
                <w:sz w:val="20"/>
                <w:szCs w:val="20"/>
                <w:lang w:val="en-GB"/>
              </w:rPr>
              <w:t>attending</w:t>
            </w:r>
            <w:r w:rsidR="00D12A07" w:rsidRPr="009B39EC">
              <w:rPr>
                <w:rFonts w:ascii="Arial" w:eastAsia="Times New Roman" w:hAnsi="Arial" w:cs="Arial"/>
                <w:color w:val="212121"/>
                <w:sz w:val="20"/>
                <w:szCs w:val="20"/>
                <w:lang w:val="en-GB"/>
              </w:rPr>
              <w:t>. In</w:t>
            </w:r>
            <w:r w:rsidR="00850A6E" w:rsidRPr="009B39EC">
              <w:rPr>
                <w:rFonts w:ascii="Arial" w:eastAsia="Times New Roman" w:hAnsi="Arial" w:cs="Arial"/>
                <w:color w:val="212121"/>
                <w:sz w:val="20"/>
                <w:szCs w:val="20"/>
                <w:lang w:val="en-GB"/>
              </w:rPr>
              <w:t xml:space="preserve"> 20</w:t>
            </w:r>
            <w:r w:rsidR="00E50B1D" w:rsidRPr="009B39EC">
              <w:rPr>
                <w:rFonts w:ascii="Arial" w:hAnsi="Arial" w:cs="Arial"/>
                <w:color w:val="000000"/>
                <w:sz w:val="20"/>
                <w:szCs w:val="20"/>
                <w:lang w:val="en-GB"/>
              </w:rPr>
              <w:t xml:space="preserve">19, </w:t>
            </w:r>
            <w:r w:rsidR="00D12A07" w:rsidRPr="009B39EC">
              <w:rPr>
                <w:rFonts w:ascii="Arial" w:hAnsi="Arial" w:cs="Arial"/>
                <w:color w:val="000000"/>
                <w:sz w:val="20"/>
                <w:szCs w:val="20"/>
                <w:lang w:val="en-GB"/>
              </w:rPr>
              <w:t xml:space="preserve">only 15 men benefitted from treatment and special counselling programmes offered by this </w:t>
            </w:r>
            <w:r w:rsidR="00C22826" w:rsidRPr="009B39EC">
              <w:rPr>
                <w:rFonts w:ascii="Arial" w:hAnsi="Arial" w:cs="Arial"/>
                <w:color w:val="000000"/>
                <w:sz w:val="20"/>
                <w:szCs w:val="20"/>
                <w:lang w:val="en-GB"/>
              </w:rPr>
              <w:t>centre</w:t>
            </w:r>
            <w:r w:rsidR="00D12A07" w:rsidRPr="009B39EC">
              <w:rPr>
                <w:rFonts w:ascii="Arial" w:hAnsi="Arial" w:cs="Arial"/>
                <w:color w:val="000000"/>
                <w:sz w:val="20"/>
                <w:szCs w:val="20"/>
                <w:lang w:val="en-GB"/>
              </w:rPr>
              <w:t>; all of them participated in the programme voluntarily</w:t>
            </w:r>
            <w:r w:rsidR="00E50B1D" w:rsidRPr="009B39EC">
              <w:rPr>
                <w:rFonts w:ascii="Arial" w:hAnsi="Arial" w:cs="Arial"/>
                <w:color w:val="000000"/>
                <w:sz w:val="20"/>
                <w:szCs w:val="20"/>
                <w:lang w:val="en-GB"/>
              </w:rPr>
              <w:t>.</w:t>
            </w:r>
          </w:p>
          <w:p w14:paraId="17D2611E" w14:textId="2A2B7FE4" w:rsidR="00E50B1D" w:rsidRPr="009B39EC" w:rsidRDefault="00C22826" w:rsidP="00E50B1D">
            <w:pPr>
              <w:shd w:val="clear" w:color="auto" w:fill="FFFFFF"/>
              <w:spacing w:after="0" w:line="240" w:lineRule="auto"/>
              <w:jc w:val="both"/>
              <w:rPr>
                <w:rFonts w:ascii="Arial" w:eastAsia="Times New Roman" w:hAnsi="Arial" w:cs="Arial"/>
                <w:color w:val="212121"/>
                <w:sz w:val="20"/>
                <w:szCs w:val="20"/>
                <w:lang w:val="en-GB"/>
              </w:rPr>
            </w:pPr>
            <w:r w:rsidRPr="009B39EC">
              <w:rPr>
                <w:rFonts w:ascii="Arial" w:hAnsi="Arial" w:cs="Arial"/>
                <w:color w:val="000000"/>
                <w:sz w:val="20"/>
                <w:szCs w:val="20"/>
                <w:lang w:val="en-GB"/>
              </w:rPr>
              <w:t xml:space="preserve">In 2018, the Office for Men and Boys in Shkodra launched an IT-assisted remote counselling programme with perpetrators from the municipalities of Vau i Dejës and Malësi e Madhe. </w:t>
            </w:r>
            <w:r w:rsidR="00B74B2A" w:rsidRPr="009B39EC">
              <w:rPr>
                <w:rFonts w:ascii="Arial" w:hAnsi="Arial" w:cs="Arial"/>
                <w:color w:val="000000"/>
                <w:sz w:val="20"/>
                <w:szCs w:val="20"/>
                <w:lang w:val="en-GB"/>
              </w:rPr>
              <w:t xml:space="preserve">In addition, a mobile service is also provided in these areas. Those perpetrators who are unable to attend sessions at the </w:t>
            </w:r>
            <w:r w:rsidRPr="009B39EC">
              <w:rPr>
                <w:rFonts w:ascii="Arial" w:hAnsi="Arial" w:cs="Arial"/>
                <w:color w:val="000000"/>
                <w:sz w:val="20"/>
                <w:szCs w:val="20"/>
                <w:lang w:val="en-GB"/>
              </w:rPr>
              <w:t>centre</w:t>
            </w:r>
            <w:r w:rsidR="00B74B2A" w:rsidRPr="009B39EC">
              <w:rPr>
                <w:rFonts w:ascii="Arial" w:hAnsi="Arial" w:cs="Arial"/>
                <w:color w:val="000000"/>
                <w:sz w:val="20"/>
                <w:szCs w:val="20"/>
                <w:lang w:val="en-GB"/>
              </w:rPr>
              <w:t xml:space="preserve"> or remotely can meet with the counsellors in their local municipality office</w:t>
            </w:r>
            <w:r w:rsidR="00E50B1D" w:rsidRPr="009B39EC">
              <w:rPr>
                <w:rFonts w:ascii="Arial" w:hAnsi="Arial" w:cs="Arial"/>
                <w:color w:val="000000"/>
                <w:sz w:val="20"/>
                <w:szCs w:val="20"/>
                <w:lang w:val="en-GB"/>
              </w:rPr>
              <w:t xml:space="preserve">. </w:t>
            </w:r>
            <w:r w:rsidR="00B74B2A" w:rsidRPr="009B39EC">
              <w:rPr>
                <w:rFonts w:ascii="Arial" w:hAnsi="Arial" w:cs="Arial"/>
                <w:color w:val="000000"/>
                <w:sz w:val="20"/>
                <w:szCs w:val="20"/>
                <w:lang w:val="en-GB"/>
              </w:rPr>
              <w:t>Between 2016 and 2020, the Office for Men and Boys in Shkodër provided counselling services to a total of 157 m</w:t>
            </w:r>
            <w:r w:rsidR="0049209D" w:rsidRPr="009B39EC">
              <w:rPr>
                <w:rFonts w:ascii="Arial" w:hAnsi="Arial" w:cs="Arial"/>
                <w:color w:val="000000"/>
                <w:sz w:val="20"/>
                <w:szCs w:val="20"/>
                <w:lang w:val="en-GB"/>
              </w:rPr>
              <w:t>ale</w:t>
            </w:r>
            <w:r w:rsidR="00B74B2A" w:rsidRPr="009B39EC">
              <w:rPr>
                <w:rFonts w:ascii="Arial" w:hAnsi="Arial" w:cs="Arial"/>
                <w:color w:val="000000"/>
                <w:sz w:val="20"/>
                <w:szCs w:val="20"/>
                <w:lang w:val="en-GB"/>
              </w:rPr>
              <w:t xml:space="preserve"> perpetrators of domestic violence, as well as to </w:t>
            </w:r>
            <w:r w:rsidR="00E50B1D" w:rsidRPr="009B39EC">
              <w:rPr>
                <w:rFonts w:ascii="Arial" w:hAnsi="Arial" w:cs="Arial"/>
                <w:color w:val="000000"/>
                <w:sz w:val="20"/>
                <w:szCs w:val="20"/>
                <w:lang w:val="en-GB"/>
              </w:rPr>
              <w:t xml:space="preserve">137 </w:t>
            </w:r>
            <w:r w:rsidR="00B74B2A" w:rsidRPr="009B39EC">
              <w:rPr>
                <w:rFonts w:ascii="Arial" w:hAnsi="Arial" w:cs="Arial"/>
                <w:color w:val="000000"/>
                <w:sz w:val="20"/>
                <w:szCs w:val="20"/>
                <w:lang w:val="en-GB"/>
              </w:rPr>
              <w:t>boys who were referred by the school psychological counselling services</w:t>
            </w:r>
            <w:r w:rsidR="00DF33B7" w:rsidRPr="009B39EC">
              <w:rPr>
                <w:rFonts w:ascii="Arial" w:hAnsi="Arial" w:cs="Arial"/>
                <w:color w:val="000000"/>
                <w:sz w:val="20"/>
                <w:szCs w:val="20"/>
                <w:lang w:val="en-GB"/>
              </w:rPr>
              <w:t>. They received individual and group counselling (reflection groups for aggressive boys</w:t>
            </w:r>
            <w:r w:rsidR="00E50B1D" w:rsidRPr="009B39EC">
              <w:rPr>
                <w:rFonts w:ascii="Arial" w:hAnsi="Arial" w:cs="Arial"/>
                <w:color w:val="000000"/>
                <w:sz w:val="20"/>
                <w:szCs w:val="20"/>
                <w:lang w:val="en-GB"/>
              </w:rPr>
              <w:t xml:space="preserve">). </w:t>
            </w:r>
            <w:r w:rsidR="0049209D" w:rsidRPr="009B39EC">
              <w:rPr>
                <w:rFonts w:ascii="Arial" w:hAnsi="Arial" w:cs="Arial"/>
                <w:color w:val="000000"/>
                <w:sz w:val="20"/>
                <w:szCs w:val="20"/>
                <w:lang w:val="en-GB"/>
              </w:rPr>
              <w:t>I</w:t>
            </w:r>
            <w:r w:rsidR="00DF33B7" w:rsidRPr="009B39EC">
              <w:rPr>
                <w:rFonts w:ascii="Arial" w:hAnsi="Arial" w:cs="Arial"/>
                <w:color w:val="000000"/>
                <w:sz w:val="20"/>
                <w:szCs w:val="20"/>
                <w:lang w:val="en-GB"/>
              </w:rPr>
              <w:t xml:space="preserve">n the period </w:t>
            </w:r>
            <w:r w:rsidR="0049209D" w:rsidRPr="009B39EC">
              <w:rPr>
                <w:rFonts w:ascii="Arial" w:hAnsi="Arial" w:cs="Arial"/>
                <w:color w:val="000000"/>
                <w:sz w:val="20"/>
                <w:szCs w:val="20"/>
                <w:lang w:val="en-GB"/>
              </w:rPr>
              <w:t xml:space="preserve">between </w:t>
            </w:r>
            <w:r w:rsidR="00E50B1D" w:rsidRPr="009B39EC">
              <w:rPr>
                <w:rFonts w:ascii="Arial" w:hAnsi="Arial" w:cs="Arial"/>
                <w:sz w:val="20"/>
                <w:szCs w:val="20"/>
                <w:lang w:val="en-GB"/>
              </w:rPr>
              <w:t>Jan</w:t>
            </w:r>
            <w:r w:rsidR="00DF33B7" w:rsidRPr="009B39EC">
              <w:rPr>
                <w:rFonts w:ascii="Arial" w:hAnsi="Arial" w:cs="Arial"/>
                <w:sz w:val="20"/>
                <w:szCs w:val="20"/>
                <w:lang w:val="en-GB"/>
              </w:rPr>
              <w:t>uary</w:t>
            </w:r>
            <w:r w:rsidR="0049209D" w:rsidRPr="009B39EC">
              <w:rPr>
                <w:rFonts w:ascii="Arial" w:hAnsi="Arial" w:cs="Arial"/>
                <w:sz w:val="20"/>
                <w:szCs w:val="20"/>
                <w:lang w:val="en-GB"/>
              </w:rPr>
              <w:t xml:space="preserve"> </w:t>
            </w:r>
            <w:r w:rsidR="00846A69" w:rsidRPr="009B39EC">
              <w:rPr>
                <w:rFonts w:ascii="Arial" w:hAnsi="Arial" w:cs="Arial"/>
                <w:sz w:val="20"/>
                <w:szCs w:val="20"/>
                <w:lang w:val="en-GB"/>
              </w:rPr>
              <w:t>and October</w:t>
            </w:r>
            <w:r w:rsidR="00E50B1D" w:rsidRPr="009B39EC">
              <w:rPr>
                <w:rFonts w:ascii="Arial" w:hAnsi="Arial" w:cs="Arial"/>
                <w:sz w:val="20"/>
                <w:szCs w:val="20"/>
                <w:lang w:val="en-GB"/>
              </w:rPr>
              <w:t xml:space="preserve"> 2020</w:t>
            </w:r>
            <w:r w:rsidR="00DF33B7" w:rsidRPr="009B39EC">
              <w:rPr>
                <w:rFonts w:ascii="Arial" w:hAnsi="Arial" w:cs="Arial"/>
                <w:sz w:val="20"/>
                <w:szCs w:val="20"/>
                <w:lang w:val="en-GB"/>
              </w:rPr>
              <w:t xml:space="preserve"> such services were offered to</w:t>
            </w:r>
            <w:r w:rsidR="00E50B1D" w:rsidRPr="009B39EC">
              <w:rPr>
                <w:rFonts w:ascii="Arial" w:hAnsi="Arial" w:cs="Arial"/>
                <w:sz w:val="20"/>
                <w:szCs w:val="20"/>
                <w:lang w:val="en-GB"/>
              </w:rPr>
              <w:t xml:space="preserve"> </w:t>
            </w:r>
            <w:r w:rsidR="00DF33B7" w:rsidRPr="009B39EC">
              <w:rPr>
                <w:rFonts w:ascii="Arial" w:hAnsi="Arial" w:cs="Arial"/>
                <w:sz w:val="20"/>
                <w:szCs w:val="20"/>
                <w:lang w:val="en-GB"/>
              </w:rPr>
              <w:t xml:space="preserve">67 men and </w:t>
            </w:r>
            <w:proofErr w:type="gramStart"/>
            <w:r w:rsidR="00DF33B7" w:rsidRPr="009B39EC">
              <w:rPr>
                <w:rFonts w:ascii="Arial" w:hAnsi="Arial" w:cs="Arial"/>
                <w:sz w:val="20"/>
                <w:szCs w:val="20"/>
                <w:lang w:val="en-GB"/>
              </w:rPr>
              <w:t>boys</w:t>
            </w:r>
            <w:proofErr w:type="gramEnd"/>
            <w:r w:rsidR="00DF33B7" w:rsidRPr="009B39EC">
              <w:rPr>
                <w:rFonts w:ascii="Arial" w:hAnsi="Arial" w:cs="Arial"/>
                <w:sz w:val="20"/>
                <w:szCs w:val="20"/>
                <w:lang w:val="en-GB"/>
              </w:rPr>
              <w:t xml:space="preserve"> perpetrators of violence or who displayed gender-based aggressive behaviour</w:t>
            </w:r>
            <w:r w:rsidR="00E50B1D" w:rsidRPr="009B39EC">
              <w:rPr>
                <w:rFonts w:ascii="Arial" w:hAnsi="Arial" w:cs="Arial"/>
                <w:sz w:val="20"/>
                <w:szCs w:val="20"/>
                <w:lang w:val="en-GB"/>
              </w:rPr>
              <w:t>.</w:t>
            </w:r>
          </w:p>
        </w:tc>
      </w:tr>
    </w:tbl>
    <w:p w14:paraId="646052B9" w14:textId="68D8CB46" w:rsidR="00E50B1D" w:rsidRPr="009B39EC" w:rsidRDefault="0052525C" w:rsidP="00E50B1D">
      <w:pPr>
        <w:widowControl w:val="0"/>
        <w:pBdr>
          <w:top w:val="single" w:sz="4" w:space="1" w:color="auto"/>
          <w:left w:val="single" w:sz="4" w:space="0" w:color="auto"/>
          <w:bottom w:val="single" w:sz="4" w:space="1" w:color="auto"/>
          <w:right w:val="single" w:sz="4" w:space="4" w:color="auto"/>
        </w:pBdr>
        <w:shd w:val="clear" w:color="auto" w:fill="C45911" w:themeFill="accent2" w:themeFillShade="BF"/>
        <w:autoSpaceDE w:val="0"/>
        <w:autoSpaceDN w:val="0"/>
        <w:adjustRightInd w:val="0"/>
        <w:spacing w:after="0" w:line="240" w:lineRule="auto"/>
        <w:jc w:val="center"/>
        <w:rPr>
          <w:rFonts w:ascii="Arial" w:hAnsi="Arial" w:cs="Arial"/>
          <w:b/>
          <w:color w:val="FFFFFF" w:themeColor="background1"/>
          <w:sz w:val="20"/>
          <w:szCs w:val="20"/>
          <w:lang w:val="en-GB"/>
        </w:rPr>
      </w:pPr>
      <w:r w:rsidRPr="009B39EC">
        <w:rPr>
          <w:rFonts w:ascii="Arial" w:hAnsi="Arial" w:cs="Arial"/>
          <w:b/>
          <w:color w:val="FFFFFF" w:themeColor="background1"/>
          <w:sz w:val="20"/>
          <w:szCs w:val="20"/>
          <w:u w:val="single"/>
          <w:lang w:val="en-GB"/>
        </w:rPr>
        <w:t>Strategic Goal</w:t>
      </w:r>
      <w:r w:rsidR="00E50B1D" w:rsidRPr="009B39EC">
        <w:rPr>
          <w:rFonts w:ascii="Arial" w:hAnsi="Arial" w:cs="Arial"/>
          <w:b/>
          <w:color w:val="FFFFFF" w:themeColor="background1"/>
          <w:sz w:val="20"/>
          <w:szCs w:val="20"/>
          <w:u w:val="single"/>
          <w:lang w:val="en-GB"/>
        </w:rPr>
        <w:t xml:space="preserve"> 4</w:t>
      </w:r>
      <w:r w:rsidR="00E50B1D" w:rsidRPr="009B39EC">
        <w:rPr>
          <w:rFonts w:ascii="Arial" w:hAnsi="Arial" w:cs="Arial"/>
          <w:b/>
          <w:color w:val="FFFFFF" w:themeColor="background1"/>
          <w:sz w:val="20"/>
          <w:szCs w:val="20"/>
          <w:lang w:val="en-GB"/>
        </w:rPr>
        <w:t xml:space="preserve">: </w:t>
      </w:r>
    </w:p>
    <w:p w14:paraId="5E5277B8" w14:textId="38790187" w:rsidR="00E50B1D" w:rsidRPr="009B39EC" w:rsidRDefault="00C22826" w:rsidP="00E50B1D">
      <w:pPr>
        <w:widowControl w:val="0"/>
        <w:pBdr>
          <w:top w:val="single" w:sz="4" w:space="1" w:color="auto"/>
          <w:left w:val="single" w:sz="4" w:space="0" w:color="auto"/>
          <w:bottom w:val="single" w:sz="4" w:space="1" w:color="auto"/>
          <w:right w:val="single" w:sz="4" w:space="4" w:color="auto"/>
        </w:pBdr>
        <w:shd w:val="clear" w:color="auto" w:fill="C45911" w:themeFill="accent2" w:themeFillShade="BF"/>
        <w:autoSpaceDE w:val="0"/>
        <w:autoSpaceDN w:val="0"/>
        <w:adjustRightInd w:val="0"/>
        <w:spacing w:after="0" w:line="240" w:lineRule="auto"/>
        <w:jc w:val="center"/>
        <w:rPr>
          <w:rFonts w:ascii="Arial" w:hAnsi="Arial" w:cs="Arial"/>
          <w:b/>
          <w:color w:val="FFFFFF" w:themeColor="background1"/>
          <w:sz w:val="20"/>
          <w:szCs w:val="20"/>
          <w:u w:val="single"/>
          <w:lang w:val="en-GB"/>
        </w:rPr>
      </w:pPr>
      <w:r w:rsidRPr="009B39EC">
        <w:rPr>
          <w:rFonts w:ascii="Arial" w:hAnsi="Arial" w:cs="Arial"/>
          <w:b/>
          <w:color w:val="FFFFFF" w:themeColor="background1"/>
          <w:sz w:val="20"/>
          <w:szCs w:val="20"/>
          <w:lang w:val="en-GB"/>
        </w:rPr>
        <w:t>Strengthening of the coordinating and monitoring role of the Coordinated Mechanism on Gender Equality and raising the awareness of the society for the advancement of gender equality</w:t>
      </w:r>
      <w:r w:rsidR="00E50B1D" w:rsidRPr="009B39EC">
        <w:rPr>
          <w:rFonts w:ascii="Arial" w:hAnsi="Arial" w:cs="Arial"/>
          <w:b/>
          <w:color w:val="FFFFFF" w:themeColor="background1"/>
          <w:sz w:val="20"/>
          <w:szCs w:val="20"/>
          <w:lang w:val="en-GB"/>
        </w:rPr>
        <w:t xml:space="preserve"> = 81.25</w:t>
      </w:r>
      <w:r w:rsidR="007515B1" w:rsidRPr="009B39EC">
        <w:rPr>
          <w:rFonts w:ascii="Arial" w:hAnsi="Arial" w:cs="Arial"/>
          <w:b/>
          <w:color w:val="FFFFFF" w:themeColor="background1"/>
          <w:sz w:val="20"/>
          <w:szCs w:val="20"/>
          <w:lang w:val="en-GB"/>
        </w:rPr>
        <w:t>%</w:t>
      </w:r>
      <w:r w:rsidR="00E50B1D" w:rsidRPr="009B39EC">
        <w:rPr>
          <w:rFonts w:ascii="Arial" w:hAnsi="Arial" w:cs="Arial"/>
          <w:b/>
          <w:color w:val="FFFFFF" w:themeColor="background1"/>
          <w:sz w:val="20"/>
          <w:szCs w:val="20"/>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528"/>
      </w:tblGrid>
      <w:tr w:rsidR="00E50B1D" w:rsidRPr="009B39EC" w14:paraId="3510B85F" w14:textId="77777777" w:rsidTr="00E50B1D">
        <w:tc>
          <w:tcPr>
            <w:tcW w:w="9558" w:type="dxa"/>
            <w:gridSpan w:val="2"/>
            <w:shd w:val="clear" w:color="auto" w:fill="FBE4D5" w:themeFill="accent2" w:themeFillTint="33"/>
          </w:tcPr>
          <w:p w14:paraId="1CC7B8FE" w14:textId="27D68002" w:rsidR="00E50B1D" w:rsidRPr="009B39EC" w:rsidRDefault="00127B55" w:rsidP="00C22826">
            <w:pPr>
              <w:rPr>
                <w:rFonts w:ascii="Arial" w:hAnsi="Arial" w:cs="Arial"/>
                <w:sz w:val="20"/>
                <w:szCs w:val="20"/>
                <w:lang w:val="en-GB"/>
              </w:rPr>
            </w:pPr>
            <w:r w:rsidRPr="009B39EC">
              <w:rPr>
                <w:rFonts w:ascii="Arial" w:hAnsi="Arial" w:cs="Arial"/>
                <w:b/>
                <w:sz w:val="20"/>
                <w:szCs w:val="20"/>
                <w:u w:val="single"/>
                <w:lang w:val="en-GB"/>
              </w:rPr>
              <w:t>Specific objective</w:t>
            </w:r>
            <w:r w:rsidR="00C22826" w:rsidRPr="009B39EC">
              <w:rPr>
                <w:rFonts w:ascii="Arial" w:hAnsi="Arial" w:cs="Arial"/>
                <w:b/>
                <w:sz w:val="20"/>
                <w:szCs w:val="20"/>
                <w:u w:val="single"/>
                <w:lang w:val="en-GB"/>
              </w:rPr>
              <w:t xml:space="preserve"> </w:t>
            </w:r>
            <w:r w:rsidR="00E50B1D" w:rsidRPr="009B39EC">
              <w:rPr>
                <w:rFonts w:ascii="Arial" w:hAnsi="Arial" w:cs="Arial"/>
                <w:b/>
                <w:sz w:val="20"/>
                <w:szCs w:val="20"/>
                <w:u w:val="single"/>
                <w:lang w:val="en-GB"/>
              </w:rPr>
              <w:t>4.1</w:t>
            </w:r>
            <w:r w:rsidR="00E50B1D" w:rsidRPr="009B39EC">
              <w:rPr>
                <w:rFonts w:ascii="Arial" w:hAnsi="Arial" w:cs="Arial"/>
                <w:sz w:val="20"/>
                <w:szCs w:val="20"/>
                <w:lang w:val="en-GB"/>
              </w:rPr>
              <w:t xml:space="preserve">: </w:t>
            </w:r>
            <w:r w:rsidR="00C22826" w:rsidRPr="009B39EC">
              <w:rPr>
                <w:rFonts w:ascii="Arial" w:hAnsi="Arial" w:cs="Arial"/>
                <w:b/>
                <w:sz w:val="20"/>
                <w:szCs w:val="20"/>
                <w:lang w:val="en-GB"/>
              </w:rPr>
              <w:t>Improving the Gender Equality Sector, in line with its role as laid down in the legislation in force, international conventions and recommendations from international documents</w:t>
            </w:r>
            <w:r w:rsidR="00E50B1D" w:rsidRPr="009B39EC">
              <w:rPr>
                <w:rFonts w:ascii="Arial" w:hAnsi="Arial" w:cs="Arial"/>
                <w:b/>
                <w:sz w:val="20"/>
                <w:szCs w:val="20"/>
                <w:lang w:val="en-GB"/>
              </w:rPr>
              <w:t>.</w:t>
            </w:r>
            <w:r w:rsidR="00E50B1D" w:rsidRPr="009B39EC">
              <w:rPr>
                <w:rFonts w:ascii="Arial" w:hAnsi="Arial" w:cs="Arial"/>
                <w:sz w:val="20"/>
                <w:szCs w:val="20"/>
                <w:lang w:val="en-GB"/>
              </w:rPr>
              <w:t xml:space="preserve">  </w:t>
            </w:r>
          </w:p>
        </w:tc>
      </w:tr>
      <w:tr w:rsidR="00E50B1D" w:rsidRPr="009B39EC" w14:paraId="442D98DB" w14:textId="77777777" w:rsidTr="00E50B1D">
        <w:tc>
          <w:tcPr>
            <w:tcW w:w="9558" w:type="dxa"/>
            <w:gridSpan w:val="2"/>
            <w:shd w:val="clear" w:color="auto" w:fill="FBE4D5" w:themeFill="accent2" w:themeFillTint="33"/>
          </w:tcPr>
          <w:p w14:paraId="5D7DF505" w14:textId="749C38A3" w:rsidR="00E50B1D" w:rsidRPr="009B39EC" w:rsidRDefault="00127B55" w:rsidP="00E50B1D">
            <w:pPr>
              <w:spacing w:after="0" w:line="240" w:lineRule="auto"/>
              <w:jc w:val="both"/>
              <w:rPr>
                <w:rFonts w:ascii="Arial" w:eastAsia="Times New Roman" w:hAnsi="Arial" w:cs="Arial"/>
                <w:i/>
                <w:iCs/>
                <w:sz w:val="20"/>
                <w:szCs w:val="20"/>
                <w:lang w:val="en-GB"/>
              </w:rPr>
            </w:pPr>
            <w:r w:rsidRPr="009B39EC">
              <w:rPr>
                <w:rFonts w:ascii="Arial" w:eastAsia="Times New Roman" w:hAnsi="Arial" w:cs="Arial"/>
                <w:b/>
                <w:iCs/>
                <w:sz w:val="20"/>
                <w:szCs w:val="20"/>
                <w:u w:val="single"/>
                <w:lang w:val="en-GB"/>
              </w:rPr>
              <w:t>Objective indicator</w:t>
            </w:r>
            <w:r w:rsidR="00E50B1D" w:rsidRPr="009B39EC">
              <w:rPr>
                <w:rFonts w:ascii="Arial" w:eastAsia="Times New Roman" w:hAnsi="Arial" w:cs="Arial"/>
                <w:b/>
                <w:iCs/>
                <w:sz w:val="20"/>
                <w:szCs w:val="20"/>
                <w:u w:val="single"/>
                <w:lang w:val="en-GB"/>
              </w:rPr>
              <w:t>:</w:t>
            </w:r>
            <w:r w:rsidR="00E50B1D" w:rsidRPr="009B39EC">
              <w:rPr>
                <w:rFonts w:ascii="Arial" w:eastAsia="Times New Roman" w:hAnsi="Arial" w:cs="Arial"/>
                <w:i/>
                <w:iCs/>
                <w:sz w:val="20"/>
                <w:szCs w:val="20"/>
                <w:lang w:val="en-GB"/>
              </w:rPr>
              <w:t xml:space="preserve"> </w:t>
            </w:r>
            <w:r w:rsidR="00A3543A" w:rsidRPr="009B39EC">
              <w:rPr>
                <w:rFonts w:ascii="Arial" w:hAnsi="Arial" w:cs="Arial"/>
                <w:sz w:val="20"/>
                <w:szCs w:val="20"/>
                <w:lang w:val="en-GB"/>
              </w:rPr>
              <w:t>By the end of 2020</w:t>
            </w:r>
            <w:r w:rsidR="00E50B1D" w:rsidRPr="009B39EC">
              <w:rPr>
                <w:rFonts w:ascii="Arial" w:hAnsi="Arial" w:cs="Arial"/>
                <w:sz w:val="20"/>
                <w:szCs w:val="20"/>
                <w:lang w:val="en-GB"/>
              </w:rPr>
              <w:t xml:space="preserve">, </w:t>
            </w:r>
            <w:r w:rsidR="00C22826" w:rsidRPr="009B39EC">
              <w:rPr>
                <w:rFonts w:ascii="Arial" w:hAnsi="Arial" w:cs="Arial"/>
                <w:sz w:val="20"/>
                <w:szCs w:val="20"/>
                <w:lang w:val="en-GB"/>
              </w:rPr>
              <w:t xml:space="preserve">a strengthened Gender Equality Sector at the former Ministry of </w:t>
            </w:r>
            <w:r w:rsidR="00C92A65" w:rsidRPr="009B39EC">
              <w:rPr>
                <w:rFonts w:ascii="Arial" w:hAnsi="Arial" w:cs="Arial"/>
                <w:sz w:val="20"/>
                <w:szCs w:val="20"/>
                <w:lang w:val="en-GB"/>
              </w:rPr>
              <w:t xml:space="preserve">Social Welfare and Youth (with a consolidated and efficient </w:t>
            </w:r>
            <w:r w:rsidR="00264A56" w:rsidRPr="009B39EC">
              <w:rPr>
                <w:rFonts w:ascii="Arial" w:hAnsi="Arial" w:cs="Arial"/>
                <w:sz w:val="20"/>
                <w:szCs w:val="20"/>
                <w:lang w:val="en-GB"/>
              </w:rPr>
              <w:t>organisational</w:t>
            </w:r>
            <w:r w:rsidR="00C92A65" w:rsidRPr="009B39EC">
              <w:rPr>
                <w:rFonts w:ascii="Arial" w:hAnsi="Arial" w:cs="Arial"/>
                <w:sz w:val="20"/>
                <w:szCs w:val="20"/>
                <w:lang w:val="en-GB"/>
              </w:rPr>
              <w:t xml:space="preserve"> structure), in line with its coordination and monitoring role</w:t>
            </w:r>
            <w:r w:rsidR="00E50B1D" w:rsidRPr="009B39EC">
              <w:rPr>
                <w:rFonts w:ascii="Arial" w:hAnsi="Arial" w:cs="Arial"/>
                <w:sz w:val="20"/>
                <w:szCs w:val="20"/>
                <w:lang w:val="en-GB"/>
              </w:rPr>
              <w:t>.</w:t>
            </w:r>
          </w:p>
        </w:tc>
      </w:tr>
      <w:tr w:rsidR="00E50B1D" w:rsidRPr="009B39EC" w14:paraId="5534FC04" w14:textId="77777777" w:rsidTr="00E50B1D">
        <w:trPr>
          <w:trHeight w:val="179"/>
        </w:trPr>
        <w:tc>
          <w:tcPr>
            <w:tcW w:w="9558" w:type="dxa"/>
            <w:gridSpan w:val="2"/>
            <w:shd w:val="clear" w:color="auto" w:fill="FBE4D5" w:themeFill="accent2" w:themeFillTint="33"/>
          </w:tcPr>
          <w:p w14:paraId="244DF3CF" w14:textId="592BB5B0" w:rsidR="00E50B1D" w:rsidRPr="009B39EC" w:rsidRDefault="007515B1" w:rsidP="00E50B1D">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r w:rsidRPr="009B39EC">
              <w:rPr>
                <w:rFonts w:ascii="Arial" w:eastAsia="Times New Roman" w:hAnsi="Arial" w:cs="Arial"/>
                <w:b/>
                <w:i/>
                <w:iCs/>
                <w:sz w:val="20"/>
                <w:szCs w:val="20"/>
                <w:u w:val="single"/>
                <w:lang w:val="en-GB"/>
              </w:rPr>
              <w:t>Realisation of the objective</w:t>
            </w:r>
            <w:r w:rsidR="00E50B1D" w:rsidRPr="009B39EC">
              <w:rPr>
                <w:rFonts w:ascii="Arial" w:eastAsia="Times New Roman" w:hAnsi="Arial" w:cs="Arial"/>
                <w:b/>
                <w:i/>
                <w:iCs/>
                <w:sz w:val="20"/>
                <w:szCs w:val="20"/>
                <w:u w:val="single"/>
                <w:lang w:val="en-GB"/>
              </w:rPr>
              <w:t>:</w:t>
            </w:r>
            <w:r w:rsidR="00E50B1D" w:rsidRPr="009B39EC">
              <w:rPr>
                <w:rFonts w:ascii="Arial" w:eastAsia="Times New Roman" w:hAnsi="Arial" w:cs="Arial"/>
                <w:b/>
                <w:i/>
                <w:iCs/>
                <w:sz w:val="20"/>
                <w:szCs w:val="20"/>
                <w:lang w:val="en-GB"/>
              </w:rPr>
              <w:t xml:space="preserve">  </w:t>
            </w:r>
            <w:r w:rsidR="006D66D8" w:rsidRPr="009B39EC">
              <w:rPr>
                <w:rFonts w:ascii="Arial" w:eastAsia="Times New Roman" w:hAnsi="Arial" w:cs="Arial"/>
                <w:b/>
                <w:iCs/>
                <w:color w:val="ED7D31" w:themeColor="accent2"/>
                <w:sz w:val="20"/>
                <w:szCs w:val="20"/>
                <w:lang w:val="en-GB"/>
              </w:rPr>
              <w:t>PARTIALLY</w:t>
            </w:r>
            <w:r w:rsidR="00A72B1D" w:rsidRPr="009B39EC">
              <w:rPr>
                <w:rFonts w:ascii="Arial" w:eastAsia="Times New Roman" w:hAnsi="Arial" w:cs="Arial"/>
                <w:b/>
                <w:iCs/>
                <w:color w:val="ED7D31" w:themeColor="accent2"/>
                <w:sz w:val="20"/>
                <w:szCs w:val="20"/>
                <w:lang w:val="en-GB"/>
              </w:rPr>
              <w:t xml:space="preserve"> REALISED</w:t>
            </w:r>
            <w:r w:rsidR="00E50B1D" w:rsidRPr="009B39EC">
              <w:rPr>
                <w:rFonts w:ascii="Arial" w:eastAsia="Times New Roman" w:hAnsi="Arial" w:cs="Arial"/>
                <w:b/>
                <w:iCs/>
                <w:color w:val="ED7D31" w:themeColor="accent2"/>
                <w:sz w:val="20"/>
                <w:szCs w:val="20"/>
                <w:lang w:val="en-GB"/>
              </w:rPr>
              <w:t xml:space="preserve"> (85</w:t>
            </w:r>
            <w:r w:rsidRPr="009B39EC">
              <w:rPr>
                <w:rFonts w:ascii="Arial" w:eastAsia="Times New Roman" w:hAnsi="Arial" w:cs="Arial"/>
                <w:b/>
                <w:iCs/>
                <w:color w:val="ED7D31" w:themeColor="accent2"/>
                <w:sz w:val="20"/>
                <w:szCs w:val="20"/>
                <w:lang w:val="en-GB"/>
              </w:rPr>
              <w:t>%</w:t>
            </w:r>
            <w:r w:rsidR="00E50B1D" w:rsidRPr="009B39EC">
              <w:rPr>
                <w:rFonts w:ascii="Arial" w:eastAsia="Times New Roman" w:hAnsi="Arial" w:cs="Arial"/>
                <w:b/>
                <w:iCs/>
                <w:color w:val="ED7D31" w:themeColor="accent2"/>
                <w:sz w:val="20"/>
                <w:szCs w:val="20"/>
                <w:lang w:val="en-GB"/>
              </w:rPr>
              <w:t>).</w:t>
            </w:r>
          </w:p>
          <w:p w14:paraId="5D8F1567" w14:textId="77777777" w:rsidR="00E50B1D" w:rsidRPr="009B39EC" w:rsidRDefault="00E50B1D" w:rsidP="00E50B1D">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p>
        </w:tc>
      </w:tr>
      <w:tr w:rsidR="00E50B1D" w:rsidRPr="009B39EC" w14:paraId="36F53EDA" w14:textId="77777777" w:rsidTr="00E50B1D">
        <w:tc>
          <w:tcPr>
            <w:tcW w:w="2628" w:type="dxa"/>
            <w:shd w:val="clear" w:color="auto" w:fill="FBE4D5" w:themeFill="accent2" w:themeFillTint="33"/>
          </w:tcPr>
          <w:p w14:paraId="6CB4F8FF" w14:textId="3F4C0AC9"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lastRenderedPageBreak/>
              <w:t xml:space="preserve">Outcomes expected to be achieved by </w:t>
            </w:r>
            <w:r w:rsidR="00585418" w:rsidRPr="009B39EC">
              <w:rPr>
                <w:rFonts w:ascii="Arial" w:hAnsi="Arial" w:cs="Arial"/>
                <w:b/>
                <w:sz w:val="20"/>
                <w:szCs w:val="20"/>
                <w:lang w:val="en-GB"/>
              </w:rPr>
              <w:t>2020</w:t>
            </w:r>
          </w:p>
        </w:tc>
        <w:tc>
          <w:tcPr>
            <w:tcW w:w="6930" w:type="dxa"/>
            <w:shd w:val="clear" w:color="auto" w:fill="FBE4D5" w:themeFill="accent2" w:themeFillTint="33"/>
          </w:tcPr>
          <w:p w14:paraId="75C13CC7" w14:textId="77777777" w:rsidR="00E50B1D" w:rsidRPr="009B39EC" w:rsidRDefault="00E50B1D" w:rsidP="00E50B1D">
            <w:pPr>
              <w:spacing w:after="0" w:line="240" w:lineRule="auto"/>
              <w:jc w:val="center"/>
              <w:rPr>
                <w:rFonts w:ascii="Arial" w:hAnsi="Arial" w:cs="Arial"/>
                <w:b/>
                <w:sz w:val="20"/>
                <w:szCs w:val="20"/>
                <w:lang w:val="en-GB"/>
              </w:rPr>
            </w:pPr>
          </w:p>
          <w:p w14:paraId="11459F19" w14:textId="4B30CB98"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00741E" w:rsidRPr="009B39EC">
              <w:rPr>
                <w:rFonts w:ascii="Arial" w:hAnsi="Arial" w:cs="Arial"/>
                <w:b/>
                <w:sz w:val="20"/>
                <w:szCs w:val="20"/>
                <w:lang w:val="en-GB"/>
              </w:rPr>
              <w:t>2020</w:t>
            </w:r>
          </w:p>
        </w:tc>
      </w:tr>
      <w:tr w:rsidR="00E50B1D" w:rsidRPr="009B39EC" w14:paraId="3E5CC312" w14:textId="77777777" w:rsidTr="00491D1F">
        <w:tc>
          <w:tcPr>
            <w:tcW w:w="2628" w:type="dxa"/>
          </w:tcPr>
          <w:p w14:paraId="7978F095" w14:textId="3433DBFD" w:rsidR="00E50B1D" w:rsidRPr="009B39EC" w:rsidRDefault="00E50B1D" w:rsidP="00E50B1D">
            <w:pPr>
              <w:spacing w:after="0" w:line="240" w:lineRule="auto"/>
              <w:jc w:val="both"/>
              <w:rPr>
                <w:rFonts w:ascii="Arial" w:hAnsi="Arial" w:cs="Arial"/>
                <w:b/>
                <w:i/>
                <w:sz w:val="20"/>
                <w:szCs w:val="20"/>
                <w:u w:val="single"/>
                <w:lang w:val="en-GB"/>
              </w:rPr>
            </w:pPr>
            <w:r w:rsidRPr="009B39EC">
              <w:rPr>
                <w:rFonts w:ascii="Arial" w:hAnsi="Arial" w:cs="Arial"/>
                <w:sz w:val="20"/>
                <w:szCs w:val="20"/>
                <w:lang w:val="en-GB"/>
              </w:rPr>
              <w:t xml:space="preserve">1. </w:t>
            </w:r>
            <w:r w:rsidR="00C92A65" w:rsidRPr="009B39EC">
              <w:rPr>
                <w:rFonts w:ascii="Arial" w:hAnsi="Arial" w:cs="Arial"/>
                <w:sz w:val="20"/>
                <w:szCs w:val="20"/>
                <w:lang w:val="en-GB"/>
              </w:rPr>
              <w:t xml:space="preserve">By the end of 2020, a strengthened Gender Equality Sector at the former Ministry of Social Welfare and Youth (with a consolidated and efficient </w:t>
            </w:r>
            <w:r w:rsidR="00264A56" w:rsidRPr="009B39EC">
              <w:rPr>
                <w:rFonts w:ascii="Arial" w:hAnsi="Arial" w:cs="Arial"/>
                <w:sz w:val="20"/>
                <w:szCs w:val="20"/>
                <w:lang w:val="en-GB"/>
              </w:rPr>
              <w:t>organisational</w:t>
            </w:r>
            <w:r w:rsidR="00C92A65" w:rsidRPr="009B39EC">
              <w:rPr>
                <w:rFonts w:ascii="Arial" w:hAnsi="Arial" w:cs="Arial"/>
                <w:sz w:val="20"/>
                <w:szCs w:val="20"/>
                <w:lang w:val="en-GB"/>
              </w:rPr>
              <w:t xml:space="preserve"> structure), in line with its coordination and monitoring role</w:t>
            </w:r>
            <w:r w:rsidRPr="009B39EC">
              <w:rPr>
                <w:rFonts w:ascii="Arial" w:hAnsi="Arial" w:cs="Arial"/>
                <w:sz w:val="20"/>
                <w:szCs w:val="20"/>
                <w:lang w:val="en-GB"/>
              </w:rPr>
              <w:t xml:space="preserve">. </w:t>
            </w:r>
          </w:p>
        </w:tc>
        <w:tc>
          <w:tcPr>
            <w:tcW w:w="6930" w:type="dxa"/>
          </w:tcPr>
          <w:p w14:paraId="13D57234" w14:textId="08F4BCD5" w:rsidR="00445CB5" w:rsidRPr="009B39EC" w:rsidRDefault="00445CB5" w:rsidP="00D575F2">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In addition to the health sector, the </w:t>
            </w:r>
            <w:r w:rsidR="006A2F96" w:rsidRPr="009B39EC">
              <w:rPr>
                <w:rFonts w:ascii="Arial" w:hAnsi="Arial" w:cs="Arial"/>
                <w:sz w:val="20"/>
                <w:szCs w:val="20"/>
                <w:lang w:val="en-GB"/>
              </w:rPr>
              <w:t>MHSP</w:t>
            </w:r>
            <w:r w:rsidR="00E50B1D" w:rsidRPr="009B39EC">
              <w:rPr>
                <w:rFonts w:ascii="Arial" w:hAnsi="Arial" w:cs="Arial"/>
                <w:sz w:val="20"/>
                <w:szCs w:val="20"/>
                <w:lang w:val="en-GB"/>
              </w:rPr>
              <w:t xml:space="preserve"> </w:t>
            </w:r>
            <w:r w:rsidRPr="009B39EC">
              <w:rPr>
                <w:rFonts w:ascii="Arial" w:hAnsi="Arial" w:cs="Arial"/>
                <w:sz w:val="20"/>
                <w:szCs w:val="20"/>
                <w:lang w:val="en-GB"/>
              </w:rPr>
              <w:t xml:space="preserve">is also responsible for the development of policies addressing issues of gender-based violence, violence against children, women and other groups, gender equality, protection of the rights of children, non-discrimination on grounds of sexual orientation, disability, </w:t>
            </w:r>
            <w:proofErr w:type="gramStart"/>
            <w:r w:rsidRPr="009B39EC">
              <w:rPr>
                <w:rFonts w:ascii="Arial" w:hAnsi="Arial" w:cs="Arial"/>
                <w:sz w:val="20"/>
                <w:szCs w:val="20"/>
                <w:lang w:val="en-GB"/>
              </w:rPr>
              <w:t>ethnicity</w:t>
            </w:r>
            <w:proofErr w:type="gramEnd"/>
            <w:r w:rsidRPr="009B39EC">
              <w:rPr>
                <w:rFonts w:ascii="Arial" w:hAnsi="Arial" w:cs="Arial"/>
                <w:sz w:val="20"/>
                <w:szCs w:val="20"/>
                <w:lang w:val="en-GB"/>
              </w:rPr>
              <w:t xml:space="preserve"> and minority group, etc</w:t>
            </w:r>
            <w:r w:rsidR="00E50B1D" w:rsidRPr="009B39EC">
              <w:rPr>
                <w:rFonts w:ascii="Arial" w:hAnsi="Arial" w:cs="Arial"/>
                <w:sz w:val="20"/>
                <w:szCs w:val="20"/>
                <w:lang w:val="en-GB"/>
              </w:rPr>
              <w:t xml:space="preserve">. </w:t>
            </w:r>
            <w:r w:rsidR="00264A56" w:rsidRPr="009B39EC">
              <w:rPr>
                <w:rFonts w:ascii="Arial" w:hAnsi="Arial" w:cs="Arial"/>
                <w:sz w:val="20"/>
                <w:szCs w:val="20"/>
                <w:lang w:val="en-GB"/>
              </w:rPr>
              <w:t xml:space="preserve">These responsibilities are discharged by the </w:t>
            </w:r>
            <w:r w:rsidR="00CB6FF2" w:rsidRPr="009B39EC">
              <w:rPr>
                <w:rFonts w:ascii="Arial" w:hAnsi="Arial" w:cs="Arial"/>
                <w:sz w:val="20"/>
                <w:szCs w:val="20"/>
                <w:lang w:val="en-GB"/>
              </w:rPr>
              <w:t>Section on Policy and Strategies on Social Inclusion and Gender Equality within the Department for Policy and Development of Health Care and Social Protection Directorate under the General Directorate for Policies and Development of Health and Social Protection</w:t>
            </w:r>
            <w:r w:rsidR="00264A56" w:rsidRPr="009B39EC">
              <w:rPr>
                <w:rFonts w:ascii="Arial" w:hAnsi="Arial" w:cs="Arial"/>
                <w:sz w:val="20"/>
                <w:szCs w:val="20"/>
                <w:lang w:val="en-GB"/>
              </w:rPr>
              <w:t xml:space="preserve">. </w:t>
            </w:r>
          </w:p>
          <w:p w14:paraId="2FB27798" w14:textId="6404CDD4" w:rsidR="00445CB5" w:rsidRPr="009B39EC" w:rsidRDefault="00445CB5" w:rsidP="00445CB5">
            <w:pPr>
              <w:spacing w:after="0" w:line="240" w:lineRule="auto"/>
              <w:jc w:val="both"/>
              <w:rPr>
                <w:rFonts w:ascii="Arial" w:hAnsi="Arial" w:cs="Arial"/>
                <w:sz w:val="20"/>
                <w:szCs w:val="20"/>
                <w:lang w:val="en-GB"/>
              </w:rPr>
            </w:pPr>
            <w:r w:rsidRPr="009B39EC">
              <w:rPr>
                <w:rFonts w:ascii="Arial" w:hAnsi="Arial" w:cs="Arial"/>
                <w:sz w:val="20"/>
                <w:szCs w:val="20"/>
                <w:lang w:val="en-GB"/>
              </w:rPr>
              <w:t>The Section is composed of the Head</w:t>
            </w:r>
            <w:r w:rsidRPr="009B39EC">
              <w:rPr>
                <w:rFonts w:ascii="Arial" w:hAnsi="Arial" w:cs="Arial"/>
                <w:bCs/>
                <w:sz w:val="20"/>
                <w:szCs w:val="20"/>
                <w:lang w:val="en-GB"/>
              </w:rPr>
              <w:t xml:space="preserve"> of Section and four experts, but not all the job descriptions of these experts include duties and responsibilities focusing on gender equality issues, gender-based violence and domestic violence</w:t>
            </w:r>
          </w:p>
          <w:p w14:paraId="6CA2D89C" w14:textId="5301F81C" w:rsidR="00E50B1D" w:rsidRPr="009B39EC" w:rsidRDefault="00445CB5" w:rsidP="00445CB5">
            <w:pPr>
              <w:jc w:val="both"/>
              <w:rPr>
                <w:rFonts w:ascii="Arial" w:hAnsi="Arial" w:cs="Arial"/>
                <w:sz w:val="20"/>
                <w:szCs w:val="20"/>
                <w:lang w:val="en-GB"/>
              </w:rPr>
            </w:pPr>
            <w:r w:rsidRPr="009B39EC">
              <w:rPr>
                <w:rFonts w:ascii="Arial" w:hAnsi="Arial" w:cs="Arial"/>
                <w:sz w:val="20"/>
                <w:szCs w:val="20"/>
                <w:lang w:val="en-GB"/>
              </w:rPr>
              <w:t xml:space="preserve">The experts (three women and one man) and the head of section have the task of coordinating and monitoring a series of targeted actions focusing not only on gender equality and gender-based violence, but also on minorities, diversity, </w:t>
            </w:r>
            <w:r w:rsidR="00264A56" w:rsidRPr="009B39EC">
              <w:rPr>
                <w:rFonts w:ascii="Arial" w:hAnsi="Arial" w:cs="Arial"/>
                <w:sz w:val="20"/>
                <w:szCs w:val="20"/>
                <w:lang w:val="en-GB"/>
              </w:rPr>
              <w:t>children’s</w:t>
            </w:r>
            <w:r w:rsidRPr="009B39EC">
              <w:rPr>
                <w:rFonts w:ascii="Arial" w:hAnsi="Arial" w:cs="Arial"/>
                <w:sz w:val="20"/>
                <w:szCs w:val="20"/>
                <w:lang w:val="en-GB"/>
              </w:rPr>
              <w:t>’ rights, etc. (as reflected by the name of the section). In terms of financial resources, there has been an increase in the budget, but that has only gone for staff salaries. In the meantime, other activities related to awareness-raising events, strengthening of capacities, monitoring and evaluation processes, are mainly supported by international organisations. The technical assistance through regular expert secondments to the Section is considered essential</w:t>
            </w:r>
            <w:r w:rsidR="00E50B1D" w:rsidRPr="009B39EC">
              <w:rPr>
                <w:rFonts w:ascii="Arial" w:hAnsi="Arial" w:cs="Arial"/>
                <w:sz w:val="20"/>
                <w:szCs w:val="20"/>
                <w:lang w:val="en-GB"/>
              </w:rPr>
              <w:t>.</w:t>
            </w:r>
          </w:p>
        </w:tc>
      </w:tr>
      <w:tr w:rsidR="00E50B1D" w:rsidRPr="009B39EC" w14:paraId="2DEDD691" w14:textId="77777777" w:rsidTr="00D575F2">
        <w:tc>
          <w:tcPr>
            <w:tcW w:w="9558" w:type="dxa"/>
            <w:gridSpan w:val="2"/>
            <w:shd w:val="clear" w:color="auto" w:fill="FBE4D5" w:themeFill="accent2" w:themeFillTint="33"/>
          </w:tcPr>
          <w:p w14:paraId="07B460AF" w14:textId="000BAE15" w:rsidR="00E50B1D" w:rsidRPr="009B39EC" w:rsidRDefault="00127B55" w:rsidP="00C92A65">
            <w:pPr>
              <w:rPr>
                <w:rFonts w:ascii="Arial" w:hAnsi="Arial" w:cs="Arial"/>
                <w:sz w:val="20"/>
                <w:szCs w:val="20"/>
                <w:lang w:val="en-GB"/>
              </w:rPr>
            </w:pPr>
            <w:r w:rsidRPr="009B39EC">
              <w:rPr>
                <w:rFonts w:ascii="Arial" w:hAnsi="Arial" w:cs="Arial"/>
                <w:b/>
                <w:sz w:val="20"/>
                <w:szCs w:val="20"/>
                <w:u w:val="single"/>
                <w:lang w:val="en-GB"/>
              </w:rPr>
              <w:t>Specific objective</w:t>
            </w:r>
            <w:r w:rsidR="00C92A65" w:rsidRPr="009B39EC">
              <w:rPr>
                <w:rFonts w:ascii="Arial" w:hAnsi="Arial" w:cs="Arial"/>
                <w:b/>
                <w:sz w:val="20"/>
                <w:szCs w:val="20"/>
                <w:u w:val="single"/>
                <w:lang w:val="en-GB"/>
              </w:rPr>
              <w:t xml:space="preserve"> </w:t>
            </w:r>
            <w:r w:rsidR="00E50B1D" w:rsidRPr="009B39EC">
              <w:rPr>
                <w:rFonts w:ascii="Arial" w:hAnsi="Arial" w:cs="Arial"/>
                <w:b/>
                <w:sz w:val="20"/>
                <w:szCs w:val="20"/>
                <w:u w:val="single"/>
                <w:lang w:val="en-GB"/>
              </w:rPr>
              <w:t>4.2</w:t>
            </w:r>
            <w:r w:rsidR="00E50B1D" w:rsidRPr="009B39EC">
              <w:rPr>
                <w:rFonts w:ascii="Arial" w:hAnsi="Arial" w:cs="Arial"/>
                <w:b/>
                <w:sz w:val="20"/>
                <w:szCs w:val="20"/>
                <w:lang w:val="en-GB"/>
              </w:rPr>
              <w:t xml:space="preserve">: </w:t>
            </w:r>
            <w:r w:rsidR="00C92A65" w:rsidRPr="009B39EC">
              <w:rPr>
                <w:rFonts w:ascii="Arial" w:hAnsi="Arial" w:cs="Arial"/>
                <w:b/>
                <w:sz w:val="20"/>
                <w:szCs w:val="20"/>
                <w:lang w:val="en-GB"/>
              </w:rPr>
              <w:t xml:space="preserve">Consolidation of the network of gender civil servants both at the central and local government </w:t>
            </w:r>
            <w:r w:rsidR="00445CB5" w:rsidRPr="009B39EC">
              <w:rPr>
                <w:rFonts w:ascii="Arial" w:hAnsi="Arial" w:cs="Arial"/>
                <w:b/>
                <w:sz w:val="20"/>
                <w:szCs w:val="20"/>
                <w:lang w:val="en-GB"/>
              </w:rPr>
              <w:t>level and</w:t>
            </w:r>
            <w:r w:rsidR="00C92A65" w:rsidRPr="009B39EC">
              <w:rPr>
                <w:rFonts w:ascii="Arial" w:hAnsi="Arial" w:cs="Arial"/>
                <w:b/>
                <w:sz w:val="20"/>
                <w:szCs w:val="20"/>
                <w:lang w:val="en-GB"/>
              </w:rPr>
              <w:t xml:space="preserve"> ensuring their sustainability</w:t>
            </w:r>
            <w:r w:rsidR="00E50B1D" w:rsidRPr="009B39EC">
              <w:rPr>
                <w:rFonts w:ascii="Arial" w:hAnsi="Arial" w:cs="Arial"/>
                <w:b/>
                <w:sz w:val="20"/>
                <w:szCs w:val="20"/>
                <w:lang w:val="en-GB"/>
              </w:rPr>
              <w:t>.</w:t>
            </w:r>
          </w:p>
        </w:tc>
      </w:tr>
      <w:tr w:rsidR="00E50B1D" w:rsidRPr="009B39EC" w14:paraId="76E3C92C" w14:textId="77777777" w:rsidTr="00D575F2">
        <w:tc>
          <w:tcPr>
            <w:tcW w:w="9558" w:type="dxa"/>
            <w:gridSpan w:val="2"/>
            <w:shd w:val="clear" w:color="auto" w:fill="FBE4D5" w:themeFill="accent2" w:themeFillTint="33"/>
          </w:tcPr>
          <w:p w14:paraId="184D4CF9" w14:textId="74FE2256" w:rsidR="00E50B1D" w:rsidRPr="009B39EC" w:rsidRDefault="00585418" w:rsidP="00E50B1D">
            <w:pPr>
              <w:spacing w:after="0" w:line="240" w:lineRule="auto"/>
              <w:jc w:val="both"/>
              <w:rPr>
                <w:rFonts w:ascii="Arial" w:hAnsi="Arial" w:cs="Arial"/>
                <w:sz w:val="20"/>
                <w:szCs w:val="20"/>
                <w:lang w:val="en-GB"/>
              </w:rPr>
            </w:pPr>
            <w:r w:rsidRPr="009B39EC">
              <w:rPr>
                <w:rFonts w:ascii="Arial" w:eastAsia="Times New Roman" w:hAnsi="Arial" w:cs="Arial"/>
                <w:b/>
                <w:iCs/>
                <w:sz w:val="20"/>
                <w:szCs w:val="20"/>
                <w:u w:val="single"/>
                <w:lang w:val="en-GB"/>
              </w:rPr>
              <w:t>Objective indicators</w:t>
            </w:r>
            <w:r w:rsidR="00E50B1D" w:rsidRPr="009B39EC">
              <w:rPr>
                <w:rFonts w:ascii="Arial" w:eastAsia="Times New Roman" w:hAnsi="Arial" w:cs="Arial"/>
                <w:b/>
                <w:iCs/>
                <w:sz w:val="20"/>
                <w:szCs w:val="20"/>
                <w:u w:val="single"/>
                <w:lang w:val="en-GB"/>
              </w:rPr>
              <w:t>:</w:t>
            </w:r>
            <w:r w:rsidR="00E50B1D" w:rsidRPr="009B39EC">
              <w:rPr>
                <w:rFonts w:ascii="Arial" w:eastAsia="Times New Roman" w:hAnsi="Arial" w:cs="Arial"/>
                <w:i/>
                <w:iCs/>
                <w:sz w:val="20"/>
                <w:szCs w:val="20"/>
                <w:lang w:val="en-GB"/>
              </w:rPr>
              <w:t xml:space="preserve"> </w:t>
            </w:r>
          </w:p>
          <w:p w14:paraId="688EAD31" w14:textId="4743608E" w:rsidR="00E50B1D" w:rsidRPr="009B39EC" w:rsidRDefault="00E50B1D" w:rsidP="00C92A65">
            <w:pPr>
              <w:rPr>
                <w:rFonts w:ascii="Arial" w:hAnsi="Arial" w:cs="Arial"/>
                <w:sz w:val="20"/>
                <w:szCs w:val="20"/>
                <w:lang w:val="en-GB"/>
              </w:rPr>
            </w:pPr>
            <w:r w:rsidRPr="009B39EC">
              <w:rPr>
                <w:rFonts w:ascii="Arial" w:hAnsi="Arial" w:cs="Arial"/>
                <w:sz w:val="20"/>
                <w:szCs w:val="20"/>
                <w:lang w:val="en-GB"/>
              </w:rPr>
              <w:t xml:space="preserve">(i) </w:t>
            </w:r>
            <w:r w:rsidR="00A3543A" w:rsidRPr="009B39EC">
              <w:rPr>
                <w:rFonts w:ascii="Arial" w:hAnsi="Arial" w:cs="Arial"/>
                <w:sz w:val="20"/>
                <w:szCs w:val="20"/>
                <w:lang w:val="en-GB"/>
              </w:rPr>
              <w:t>By the end of 2020</w:t>
            </w:r>
            <w:r w:rsidR="0049209D" w:rsidRPr="009B39EC">
              <w:rPr>
                <w:rFonts w:ascii="Arial" w:hAnsi="Arial" w:cs="Arial"/>
                <w:sz w:val="20"/>
                <w:szCs w:val="20"/>
                <w:lang w:val="en-GB"/>
              </w:rPr>
              <w:t xml:space="preserve"> – there will be a one hundred</w:t>
            </w:r>
            <w:r w:rsidR="007515B1" w:rsidRPr="009B39EC">
              <w:rPr>
                <w:rFonts w:ascii="Arial" w:hAnsi="Arial" w:cs="Arial"/>
                <w:sz w:val="20"/>
                <w:szCs w:val="20"/>
                <w:lang w:val="en-GB"/>
              </w:rPr>
              <w:t>%</w:t>
            </w:r>
            <w:r w:rsidR="00C92A65" w:rsidRPr="009B39EC">
              <w:rPr>
                <w:rFonts w:ascii="Arial" w:hAnsi="Arial" w:cs="Arial"/>
                <w:sz w:val="20"/>
                <w:szCs w:val="20"/>
                <w:lang w:val="en-GB"/>
              </w:rPr>
              <w:t xml:space="preserve"> </w:t>
            </w:r>
            <w:r w:rsidR="0049209D" w:rsidRPr="009B39EC">
              <w:rPr>
                <w:rFonts w:ascii="Arial" w:hAnsi="Arial" w:cs="Arial"/>
                <w:sz w:val="20"/>
                <w:szCs w:val="20"/>
                <w:lang w:val="en-GB"/>
              </w:rPr>
              <w:t>increase in</w:t>
            </w:r>
            <w:r w:rsidR="00C92A65" w:rsidRPr="009B39EC">
              <w:rPr>
                <w:rFonts w:ascii="Arial" w:hAnsi="Arial" w:cs="Arial"/>
                <w:sz w:val="20"/>
                <w:szCs w:val="20"/>
                <w:lang w:val="en-GB"/>
              </w:rPr>
              <w:t xml:space="preserve"> the number of full-time gender employees fully </w:t>
            </w:r>
            <w:r w:rsidR="0049209D" w:rsidRPr="009B39EC">
              <w:rPr>
                <w:rFonts w:ascii="Arial" w:hAnsi="Arial" w:cs="Arial"/>
                <w:sz w:val="20"/>
                <w:szCs w:val="20"/>
                <w:lang w:val="en-GB"/>
              </w:rPr>
              <w:t xml:space="preserve">dedicated </w:t>
            </w:r>
            <w:r w:rsidR="00C92A65" w:rsidRPr="009B39EC">
              <w:rPr>
                <w:rFonts w:ascii="Arial" w:hAnsi="Arial" w:cs="Arial"/>
                <w:sz w:val="20"/>
                <w:szCs w:val="20"/>
                <w:lang w:val="en-GB"/>
              </w:rPr>
              <w:t xml:space="preserve">to the implementation of the legislation on gender equality </w:t>
            </w:r>
            <w:r w:rsidR="0049209D" w:rsidRPr="009B39EC">
              <w:rPr>
                <w:rFonts w:ascii="Arial" w:hAnsi="Arial" w:cs="Arial"/>
                <w:sz w:val="20"/>
                <w:szCs w:val="20"/>
                <w:lang w:val="en-GB"/>
              </w:rPr>
              <w:t xml:space="preserve">at the central level </w:t>
            </w:r>
            <w:r w:rsidRPr="009B39EC">
              <w:rPr>
                <w:rFonts w:ascii="Arial" w:hAnsi="Arial" w:cs="Arial"/>
                <w:sz w:val="20"/>
                <w:szCs w:val="20"/>
                <w:lang w:val="en-GB"/>
              </w:rPr>
              <w:t>[</w:t>
            </w:r>
            <w:r w:rsidR="00C92A65" w:rsidRPr="009B39EC">
              <w:rPr>
                <w:rFonts w:ascii="Arial" w:hAnsi="Arial" w:cs="Arial"/>
                <w:sz w:val="20"/>
                <w:szCs w:val="20"/>
                <w:lang w:val="en-GB"/>
              </w:rPr>
              <w:t>[</w:t>
            </w:r>
            <w:r w:rsidR="00445CB5" w:rsidRPr="009B39EC">
              <w:rPr>
                <w:rFonts w:ascii="Arial" w:hAnsi="Arial" w:cs="Arial"/>
                <w:sz w:val="20"/>
                <w:szCs w:val="20"/>
                <w:lang w:val="en-GB"/>
              </w:rPr>
              <w:t>i.e.,</w:t>
            </w:r>
            <w:r w:rsidR="00C92A65" w:rsidRPr="009B39EC">
              <w:rPr>
                <w:rFonts w:ascii="Arial" w:hAnsi="Arial" w:cs="Arial"/>
                <w:sz w:val="20"/>
                <w:szCs w:val="20"/>
                <w:lang w:val="en-GB"/>
              </w:rPr>
              <w:t xml:space="preserve"> from 0 full-time gender employees appointed in 2015 </w:t>
            </w:r>
            <w:r w:rsidRPr="009B39EC">
              <w:rPr>
                <w:rFonts w:ascii="Arial" w:hAnsi="Arial" w:cs="Arial"/>
                <w:sz w:val="20"/>
                <w:szCs w:val="20"/>
                <w:lang w:val="en-GB"/>
              </w:rPr>
              <w:t>(o</w:t>
            </w:r>
            <w:r w:rsidR="00C92A65" w:rsidRPr="009B39EC">
              <w:rPr>
                <w:rFonts w:ascii="Arial" w:hAnsi="Arial" w:cs="Arial"/>
                <w:sz w:val="20"/>
                <w:szCs w:val="20"/>
                <w:lang w:val="en-GB"/>
              </w:rPr>
              <w:t>r</w:t>
            </w:r>
            <w:r w:rsidRPr="009B39EC">
              <w:rPr>
                <w:rFonts w:ascii="Arial" w:hAnsi="Arial" w:cs="Arial"/>
                <w:sz w:val="20"/>
                <w:szCs w:val="20"/>
                <w:lang w:val="en-GB"/>
              </w:rPr>
              <w:t xml:space="preserve"> 0</w:t>
            </w:r>
            <w:r w:rsidR="007515B1" w:rsidRPr="009B39EC">
              <w:rPr>
                <w:rFonts w:ascii="Arial" w:hAnsi="Arial" w:cs="Arial"/>
                <w:sz w:val="20"/>
                <w:szCs w:val="20"/>
                <w:lang w:val="en-GB"/>
              </w:rPr>
              <w:t>%</w:t>
            </w:r>
            <w:r w:rsidRPr="009B39EC">
              <w:rPr>
                <w:rFonts w:ascii="Arial" w:hAnsi="Arial" w:cs="Arial"/>
                <w:sz w:val="20"/>
                <w:szCs w:val="20"/>
                <w:lang w:val="en-GB"/>
              </w:rPr>
              <w:t xml:space="preserve">), </w:t>
            </w:r>
            <w:r w:rsidR="00C92A65" w:rsidRPr="009B39EC">
              <w:rPr>
                <w:rFonts w:ascii="Arial" w:hAnsi="Arial" w:cs="Arial"/>
                <w:sz w:val="20"/>
                <w:szCs w:val="20"/>
                <w:lang w:val="en-GB"/>
              </w:rPr>
              <w:t>to 18 full-time gender employees appointed by the end of 2020 (or 100</w:t>
            </w:r>
            <w:r w:rsidR="007515B1" w:rsidRPr="009B39EC">
              <w:rPr>
                <w:rFonts w:ascii="Arial" w:hAnsi="Arial" w:cs="Arial"/>
                <w:sz w:val="20"/>
                <w:szCs w:val="20"/>
                <w:lang w:val="en-GB"/>
              </w:rPr>
              <w:t>%</w:t>
            </w:r>
            <w:r w:rsidR="00C92A65" w:rsidRPr="009B39EC">
              <w:rPr>
                <w:rFonts w:ascii="Arial" w:hAnsi="Arial" w:cs="Arial"/>
                <w:sz w:val="20"/>
                <w:szCs w:val="20"/>
                <w:lang w:val="en-GB"/>
              </w:rPr>
              <w:t>)]</w:t>
            </w:r>
            <w:r w:rsidRPr="009B39EC">
              <w:rPr>
                <w:rFonts w:ascii="Arial" w:hAnsi="Arial" w:cs="Arial"/>
                <w:sz w:val="20"/>
                <w:szCs w:val="20"/>
                <w:lang w:val="en-GB"/>
              </w:rPr>
              <w:t xml:space="preserve">. </w:t>
            </w:r>
          </w:p>
          <w:p w14:paraId="44972E9B" w14:textId="5B79B708" w:rsidR="00E50B1D" w:rsidRPr="009B39EC" w:rsidRDefault="00E50B1D" w:rsidP="00C92A65">
            <w:pPr>
              <w:rPr>
                <w:rFonts w:ascii="Arial" w:hAnsi="Arial" w:cs="Arial"/>
                <w:sz w:val="20"/>
                <w:szCs w:val="20"/>
                <w:lang w:val="en-GB"/>
              </w:rPr>
            </w:pPr>
            <w:r w:rsidRPr="009B39EC">
              <w:rPr>
                <w:rFonts w:ascii="Arial" w:hAnsi="Arial" w:cs="Arial"/>
                <w:sz w:val="20"/>
                <w:szCs w:val="20"/>
                <w:lang w:val="en-GB"/>
              </w:rPr>
              <w:t xml:space="preserve">(ii) </w:t>
            </w:r>
            <w:r w:rsidR="00A3543A" w:rsidRPr="009B39EC">
              <w:rPr>
                <w:rFonts w:ascii="Arial" w:hAnsi="Arial" w:cs="Arial"/>
                <w:sz w:val="20"/>
                <w:szCs w:val="20"/>
                <w:lang w:val="en-GB"/>
              </w:rPr>
              <w:t>By the end of 2020</w:t>
            </w:r>
            <w:r w:rsidRPr="009B39EC">
              <w:rPr>
                <w:rFonts w:ascii="Arial" w:hAnsi="Arial" w:cs="Arial"/>
                <w:sz w:val="20"/>
                <w:szCs w:val="20"/>
                <w:lang w:val="en-GB"/>
              </w:rPr>
              <w:t xml:space="preserve">, </w:t>
            </w:r>
            <w:r w:rsidR="00C92A65" w:rsidRPr="009B39EC">
              <w:rPr>
                <w:rFonts w:ascii="Arial" w:hAnsi="Arial" w:cs="Arial"/>
                <w:sz w:val="20"/>
                <w:szCs w:val="20"/>
                <w:lang w:val="en-GB"/>
              </w:rPr>
              <w:t xml:space="preserve">the number of full-time gender employees in local self-governments </w:t>
            </w:r>
            <w:r w:rsidR="0049209D" w:rsidRPr="009B39EC">
              <w:rPr>
                <w:rFonts w:ascii="Arial" w:hAnsi="Arial" w:cs="Arial"/>
                <w:sz w:val="20"/>
                <w:szCs w:val="20"/>
                <w:lang w:val="en-GB"/>
              </w:rPr>
              <w:t xml:space="preserve">to increase </w:t>
            </w:r>
            <w:r w:rsidR="00C92A65" w:rsidRPr="009B39EC">
              <w:rPr>
                <w:rFonts w:ascii="Arial" w:hAnsi="Arial" w:cs="Arial"/>
                <w:sz w:val="20"/>
                <w:szCs w:val="20"/>
                <w:lang w:val="en-GB"/>
              </w:rPr>
              <w:t>by 28</w:t>
            </w:r>
            <w:r w:rsidR="007515B1" w:rsidRPr="009B39EC">
              <w:rPr>
                <w:rFonts w:ascii="Arial" w:hAnsi="Arial" w:cs="Arial"/>
                <w:sz w:val="20"/>
                <w:szCs w:val="20"/>
                <w:lang w:val="en-GB"/>
              </w:rPr>
              <w:t>%</w:t>
            </w:r>
            <w:r w:rsidR="00C92A65" w:rsidRPr="009B39EC">
              <w:rPr>
                <w:rFonts w:ascii="Arial" w:hAnsi="Arial" w:cs="Arial"/>
                <w:sz w:val="20"/>
                <w:szCs w:val="20"/>
                <w:lang w:val="en-GB"/>
              </w:rPr>
              <w:t xml:space="preserve"> [</w:t>
            </w:r>
            <w:r w:rsidR="00445CB5" w:rsidRPr="009B39EC">
              <w:rPr>
                <w:rFonts w:ascii="Arial" w:hAnsi="Arial" w:cs="Arial"/>
                <w:sz w:val="20"/>
                <w:szCs w:val="20"/>
                <w:lang w:val="en-GB"/>
              </w:rPr>
              <w:t>i.e.,</w:t>
            </w:r>
            <w:r w:rsidR="00C92A65" w:rsidRPr="009B39EC">
              <w:rPr>
                <w:rFonts w:ascii="Arial" w:hAnsi="Arial" w:cs="Arial"/>
                <w:sz w:val="20"/>
                <w:szCs w:val="20"/>
                <w:lang w:val="en-GB"/>
              </w:rPr>
              <w:t xml:space="preserve"> from 44 full-time gender employees at the local self-government level in early 2016 (or 72</w:t>
            </w:r>
            <w:r w:rsidR="007515B1" w:rsidRPr="009B39EC">
              <w:rPr>
                <w:rFonts w:ascii="Arial" w:hAnsi="Arial" w:cs="Arial"/>
                <w:sz w:val="20"/>
                <w:szCs w:val="20"/>
                <w:lang w:val="en-GB"/>
              </w:rPr>
              <w:t>%</w:t>
            </w:r>
            <w:r w:rsidRPr="009B39EC">
              <w:rPr>
                <w:rFonts w:ascii="Arial" w:hAnsi="Arial" w:cs="Arial"/>
                <w:sz w:val="20"/>
                <w:szCs w:val="20"/>
                <w:lang w:val="en-GB"/>
              </w:rPr>
              <w:t xml:space="preserve">), </w:t>
            </w:r>
            <w:r w:rsidR="00C92A65" w:rsidRPr="009B39EC">
              <w:rPr>
                <w:rFonts w:ascii="Arial" w:hAnsi="Arial" w:cs="Arial"/>
                <w:sz w:val="20"/>
                <w:szCs w:val="20"/>
                <w:lang w:val="en-GB"/>
              </w:rPr>
              <w:t>to 61 full-time gender employees at the end of 2020 (or 100</w:t>
            </w:r>
            <w:r w:rsidR="007515B1" w:rsidRPr="009B39EC">
              <w:rPr>
                <w:rFonts w:ascii="Arial" w:hAnsi="Arial" w:cs="Arial"/>
                <w:sz w:val="20"/>
                <w:szCs w:val="20"/>
                <w:lang w:val="en-GB"/>
              </w:rPr>
              <w:t>%</w:t>
            </w:r>
            <w:r w:rsidR="00C92A65" w:rsidRPr="009B39EC">
              <w:rPr>
                <w:rFonts w:ascii="Arial" w:hAnsi="Arial" w:cs="Arial"/>
                <w:sz w:val="20"/>
                <w:szCs w:val="20"/>
                <w:lang w:val="en-GB"/>
              </w:rPr>
              <w:t>), namely an increase of 17 gender employees by 2020 (or 28</w:t>
            </w:r>
            <w:r w:rsidR="007515B1" w:rsidRPr="009B39EC">
              <w:rPr>
                <w:rFonts w:ascii="Arial" w:hAnsi="Arial" w:cs="Arial"/>
                <w:sz w:val="20"/>
                <w:szCs w:val="20"/>
                <w:lang w:val="en-GB"/>
              </w:rPr>
              <w:t>%</w:t>
            </w:r>
            <w:r w:rsidR="00C92A65" w:rsidRPr="009B39EC">
              <w:rPr>
                <w:rFonts w:ascii="Arial" w:hAnsi="Arial" w:cs="Arial"/>
                <w:sz w:val="20"/>
                <w:szCs w:val="20"/>
                <w:lang w:val="en-GB"/>
              </w:rPr>
              <w:t>)]</w:t>
            </w:r>
            <w:r w:rsidRPr="009B39EC">
              <w:rPr>
                <w:rFonts w:ascii="Arial" w:hAnsi="Arial" w:cs="Arial"/>
                <w:sz w:val="20"/>
                <w:szCs w:val="20"/>
                <w:lang w:val="en-GB"/>
              </w:rPr>
              <w:t xml:space="preserve">. </w:t>
            </w:r>
          </w:p>
        </w:tc>
      </w:tr>
      <w:tr w:rsidR="00E50B1D" w:rsidRPr="009B39EC" w14:paraId="5902AB93" w14:textId="77777777" w:rsidTr="00D575F2">
        <w:tc>
          <w:tcPr>
            <w:tcW w:w="9558" w:type="dxa"/>
            <w:gridSpan w:val="2"/>
            <w:shd w:val="clear" w:color="auto" w:fill="FBE4D5" w:themeFill="accent2" w:themeFillTint="33"/>
          </w:tcPr>
          <w:p w14:paraId="1BA98729" w14:textId="6F85A15E" w:rsidR="00E50B1D" w:rsidRPr="009B39EC" w:rsidRDefault="007515B1" w:rsidP="00E50B1D">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r w:rsidRPr="009B39EC">
              <w:rPr>
                <w:rFonts w:ascii="Arial" w:eastAsia="Times New Roman" w:hAnsi="Arial" w:cs="Arial"/>
                <w:b/>
                <w:i/>
                <w:iCs/>
                <w:sz w:val="20"/>
                <w:szCs w:val="20"/>
                <w:u w:val="single"/>
                <w:lang w:val="en-GB"/>
              </w:rPr>
              <w:t>Realisation of the objective</w:t>
            </w:r>
            <w:r w:rsidR="00E50B1D" w:rsidRPr="009B39EC">
              <w:rPr>
                <w:rFonts w:ascii="Arial" w:eastAsia="Times New Roman" w:hAnsi="Arial" w:cs="Arial"/>
                <w:b/>
                <w:i/>
                <w:iCs/>
                <w:sz w:val="20"/>
                <w:szCs w:val="20"/>
                <w:u w:val="single"/>
                <w:lang w:val="en-GB"/>
              </w:rPr>
              <w:t>:</w:t>
            </w:r>
            <w:r w:rsidR="00E50B1D" w:rsidRPr="009B39EC">
              <w:rPr>
                <w:rFonts w:ascii="Arial" w:eastAsia="Times New Roman" w:hAnsi="Arial" w:cs="Arial"/>
                <w:b/>
                <w:i/>
                <w:iCs/>
                <w:sz w:val="20"/>
                <w:szCs w:val="20"/>
                <w:lang w:val="en-GB"/>
              </w:rPr>
              <w:t xml:space="preserve">  </w:t>
            </w:r>
            <w:r w:rsidR="006D66D8" w:rsidRPr="009B39EC">
              <w:rPr>
                <w:rFonts w:ascii="Arial" w:eastAsia="Times New Roman" w:hAnsi="Arial" w:cs="Arial"/>
                <w:b/>
                <w:iCs/>
                <w:color w:val="ED7D31" w:themeColor="accent2"/>
                <w:sz w:val="20"/>
                <w:szCs w:val="20"/>
                <w:lang w:val="en-GB"/>
              </w:rPr>
              <w:t>NEARLY</w:t>
            </w:r>
            <w:r w:rsidR="00E50B1D" w:rsidRPr="009B39EC">
              <w:rPr>
                <w:rFonts w:ascii="Arial" w:eastAsia="Times New Roman" w:hAnsi="Arial" w:cs="Arial"/>
                <w:b/>
                <w:iCs/>
                <w:color w:val="ED7D31" w:themeColor="accent2"/>
                <w:sz w:val="20"/>
                <w:szCs w:val="20"/>
                <w:lang w:val="en-GB"/>
              </w:rPr>
              <w:t xml:space="preserve"> </w:t>
            </w:r>
            <w:r w:rsidR="006D66D8" w:rsidRPr="009B39EC">
              <w:rPr>
                <w:rFonts w:ascii="Arial" w:eastAsia="Times New Roman" w:hAnsi="Arial" w:cs="Arial"/>
                <w:b/>
                <w:iCs/>
                <w:color w:val="ED7D31" w:themeColor="accent2"/>
                <w:sz w:val="20"/>
                <w:szCs w:val="20"/>
                <w:lang w:val="en-GB"/>
              </w:rPr>
              <w:t>FULLY</w:t>
            </w:r>
            <w:r w:rsidR="00E50B1D" w:rsidRPr="009B39EC">
              <w:rPr>
                <w:rFonts w:ascii="Arial" w:eastAsia="Times New Roman" w:hAnsi="Arial" w:cs="Arial"/>
                <w:b/>
                <w:iCs/>
                <w:color w:val="ED7D31" w:themeColor="accent2"/>
                <w:sz w:val="20"/>
                <w:szCs w:val="20"/>
                <w:lang w:val="en-GB"/>
              </w:rPr>
              <w:t xml:space="preserve"> </w:t>
            </w:r>
            <w:r w:rsidR="00A72B1D" w:rsidRPr="009B39EC">
              <w:rPr>
                <w:rFonts w:ascii="Arial" w:eastAsia="Times New Roman" w:hAnsi="Arial" w:cs="Arial"/>
                <w:b/>
                <w:iCs/>
                <w:color w:val="ED7D31" w:themeColor="accent2"/>
                <w:sz w:val="20"/>
                <w:szCs w:val="20"/>
                <w:lang w:val="en-GB"/>
              </w:rPr>
              <w:t xml:space="preserve">REALISED </w:t>
            </w:r>
            <w:r w:rsidR="00E50B1D" w:rsidRPr="009B39EC">
              <w:rPr>
                <w:rFonts w:ascii="Arial" w:eastAsia="Times New Roman" w:hAnsi="Arial" w:cs="Arial"/>
                <w:b/>
                <w:iCs/>
                <w:color w:val="ED7D31" w:themeColor="accent2"/>
                <w:sz w:val="20"/>
                <w:szCs w:val="20"/>
                <w:lang w:val="en-GB"/>
              </w:rPr>
              <w:t>(90</w:t>
            </w:r>
            <w:r w:rsidRPr="009B39EC">
              <w:rPr>
                <w:rFonts w:ascii="Arial" w:eastAsia="Times New Roman" w:hAnsi="Arial" w:cs="Arial"/>
                <w:b/>
                <w:iCs/>
                <w:color w:val="ED7D31" w:themeColor="accent2"/>
                <w:sz w:val="20"/>
                <w:szCs w:val="20"/>
                <w:lang w:val="en-GB"/>
              </w:rPr>
              <w:t>%</w:t>
            </w:r>
            <w:r w:rsidR="00E50B1D" w:rsidRPr="009B39EC">
              <w:rPr>
                <w:rFonts w:ascii="Arial" w:eastAsia="Times New Roman" w:hAnsi="Arial" w:cs="Arial"/>
                <w:b/>
                <w:iCs/>
                <w:color w:val="ED7D31" w:themeColor="accent2"/>
                <w:sz w:val="20"/>
                <w:szCs w:val="20"/>
                <w:lang w:val="en-GB"/>
              </w:rPr>
              <w:t>).</w:t>
            </w:r>
          </w:p>
          <w:p w14:paraId="51B2F235" w14:textId="77777777" w:rsidR="00E50B1D" w:rsidRPr="009B39EC" w:rsidRDefault="00E50B1D" w:rsidP="00E50B1D">
            <w:pPr>
              <w:shd w:val="clear" w:color="auto" w:fill="EDEDED" w:themeFill="accent3" w:themeFillTint="33"/>
              <w:spacing w:after="0" w:line="240" w:lineRule="auto"/>
              <w:jc w:val="both"/>
              <w:rPr>
                <w:rFonts w:ascii="Arial" w:eastAsia="Times New Roman" w:hAnsi="Arial" w:cs="Arial"/>
                <w:b/>
                <w:i/>
                <w:iCs/>
                <w:color w:val="ED7D31" w:themeColor="accent2"/>
                <w:sz w:val="20"/>
                <w:szCs w:val="20"/>
                <w:lang w:val="en-GB"/>
              </w:rPr>
            </w:pPr>
          </w:p>
        </w:tc>
      </w:tr>
      <w:tr w:rsidR="00E50B1D" w:rsidRPr="009B39EC" w14:paraId="079BF76F" w14:textId="77777777" w:rsidTr="00D575F2">
        <w:tc>
          <w:tcPr>
            <w:tcW w:w="2628" w:type="dxa"/>
            <w:shd w:val="clear" w:color="auto" w:fill="FBE4D5" w:themeFill="accent2" w:themeFillTint="33"/>
          </w:tcPr>
          <w:p w14:paraId="567D1BD0" w14:textId="23EC9B69"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Outcomes expected to be achieved by </w:t>
            </w:r>
            <w:r w:rsidR="00585418" w:rsidRPr="009B39EC">
              <w:rPr>
                <w:rFonts w:ascii="Arial" w:hAnsi="Arial" w:cs="Arial"/>
                <w:b/>
                <w:sz w:val="20"/>
                <w:szCs w:val="20"/>
                <w:lang w:val="en-GB"/>
              </w:rPr>
              <w:t>2020</w:t>
            </w:r>
          </w:p>
        </w:tc>
        <w:tc>
          <w:tcPr>
            <w:tcW w:w="6930" w:type="dxa"/>
            <w:shd w:val="clear" w:color="auto" w:fill="FBE4D5" w:themeFill="accent2" w:themeFillTint="33"/>
          </w:tcPr>
          <w:p w14:paraId="18A0EC9B" w14:textId="77777777" w:rsidR="00E50B1D" w:rsidRPr="009B39EC" w:rsidRDefault="00E50B1D" w:rsidP="00E50B1D">
            <w:pPr>
              <w:spacing w:after="0" w:line="240" w:lineRule="auto"/>
              <w:jc w:val="center"/>
              <w:rPr>
                <w:rFonts w:ascii="Arial" w:hAnsi="Arial" w:cs="Arial"/>
                <w:b/>
                <w:sz w:val="20"/>
                <w:szCs w:val="20"/>
                <w:lang w:val="en-GB"/>
              </w:rPr>
            </w:pPr>
          </w:p>
          <w:p w14:paraId="70A1BB51" w14:textId="44AA95E8"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00741E" w:rsidRPr="009B39EC">
              <w:rPr>
                <w:rFonts w:ascii="Arial" w:hAnsi="Arial" w:cs="Arial"/>
                <w:b/>
                <w:sz w:val="20"/>
                <w:szCs w:val="20"/>
                <w:lang w:val="en-GB"/>
              </w:rPr>
              <w:t>2020</w:t>
            </w:r>
          </w:p>
        </w:tc>
      </w:tr>
      <w:tr w:rsidR="00E50B1D" w:rsidRPr="009B39EC" w14:paraId="2444A724" w14:textId="77777777" w:rsidTr="00491D1F">
        <w:tc>
          <w:tcPr>
            <w:tcW w:w="2628" w:type="dxa"/>
          </w:tcPr>
          <w:p w14:paraId="05700B1C" w14:textId="4C45D0B1"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1. </w:t>
            </w:r>
            <w:r w:rsidR="00C92A65" w:rsidRPr="009B39EC">
              <w:rPr>
                <w:rFonts w:ascii="Arial" w:hAnsi="Arial" w:cs="Arial"/>
                <w:sz w:val="20"/>
                <w:szCs w:val="20"/>
                <w:lang w:val="en-GB"/>
              </w:rPr>
              <w:t>By the end of 2020</w:t>
            </w:r>
            <w:r w:rsidR="0049209D" w:rsidRPr="009B39EC">
              <w:rPr>
                <w:rFonts w:ascii="Arial" w:hAnsi="Arial" w:cs="Arial"/>
                <w:sz w:val="20"/>
                <w:szCs w:val="20"/>
                <w:lang w:val="en-GB"/>
              </w:rPr>
              <w:t xml:space="preserve"> there will be a one hundred</w:t>
            </w:r>
            <w:r w:rsidR="007515B1" w:rsidRPr="009B39EC">
              <w:rPr>
                <w:rFonts w:ascii="Arial" w:hAnsi="Arial" w:cs="Arial"/>
                <w:sz w:val="20"/>
                <w:szCs w:val="20"/>
                <w:lang w:val="en-GB"/>
              </w:rPr>
              <w:t>%</w:t>
            </w:r>
            <w:r w:rsidR="0049209D" w:rsidRPr="009B39EC">
              <w:rPr>
                <w:rFonts w:ascii="Arial" w:hAnsi="Arial" w:cs="Arial"/>
                <w:sz w:val="20"/>
                <w:szCs w:val="20"/>
                <w:lang w:val="en-GB"/>
              </w:rPr>
              <w:t xml:space="preserve"> increase in the number of full-time gender employees fully dedicated to the implementation of the legislation on gender equality at the central level</w:t>
            </w:r>
          </w:p>
        </w:tc>
        <w:tc>
          <w:tcPr>
            <w:tcW w:w="6930" w:type="dxa"/>
          </w:tcPr>
          <w:p w14:paraId="3666E3F9" w14:textId="13872F00" w:rsidR="00E50B1D" w:rsidRPr="009B39EC" w:rsidRDefault="00C92A65" w:rsidP="00E50B1D">
            <w:pPr>
              <w:spacing w:after="0" w:line="240" w:lineRule="auto"/>
              <w:jc w:val="both"/>
              <w:rPr>
                <w:rFonts w:ascii="Arial" w:hAnsi="Arial" w:cs="Arial"/>
                <w:sz w:val="20"/>
                <w:szCs w:val="20"/>
                <w:lang w:val="en-GB"/>
              </w:rPr>
            </w:pPr>
            <w:r w:rsidRPr="009B39EC">
              <w:rPr>
                <w:rFonts w:ascii="Arial" w:eastAsia="Times New Roman" w:hAnsi="Arial" w:cs="Arial"/>
                <w:sz w:val="20"/>
                <w:szCs w:val="20"/>
                <w:lang w:val="en-GB"/>
              </w:rPr>
              <w:t xml:space="preserve">At </w:t>
            </w:r>
            <w:r w:rsidR="00E8165F" w:rsidRPr="009B39EC">
              <w:rPr>
                <w:rFonts w:ascii="Arial" w:eastAsia="Times New Roman" w:hAnsi="Arial" w:cs="Arial"/>
                <w:sz w:val="20"/>
                <w:szCs w:val="20"/>
                <w:lang w:val="en-GB"/>
              </w:rPr>
              <w:t xml:space="preserve">the </w:t>
            </w:r>
            <w:r w:rsidRPr="009B39EC">
              <w:rPr>
                <w:rFonts w:ascii="Arial" w:eastAsia="Times New Roman" w:hAnsi="Arial" w:cs="Arial"/>
                <w:sz w:val="20"/>
                <w:szCs w:val="20"/>
                <w:lang w:val="en-GB"/>
              </w:rPr>
              <w:t xml:space="preserve">central level, one full-time expert </w:t>
            </w:r>
            <w:r w:rsidR="00E8165F" w:rsidRPr="009B39EC">
              <w:rPr>
                <w:rFonts w:ascii="Arial" w:eastAsia="Times New Roman" w:hAnsi="Arial" w:cs="Arial"/>
                <w:sz w:val="20"/>
                <w:szCs w:val="20"/>
                <w:lang w:val="en-GB"/>
              </w:rPr>
              <w:t>in each institution</w:t>
            </w:r>
            <w:r w:rsidRPr="009B39EC">
              <w:rPr>
                <w:rFonts w:ascii="Arial" w:eastAsia="Times New Roman" w:hAnsi="Arial" w:cs="Arial"/>
                <w:sz w:val="20"/>
                <w:szCs w:val="20"/>
                <w:lang w:val="en-GB"/>
              </w:rPr>
              <w:t xml:space="preserve"> </w:t>
            </w:r>
            <w:r w:rsidR="00E8165F" w:rsidRPr="009B39EC">
              <w:rPr>
                <w:rFonts w:ascii="Arial" w:eastAsia="Times New Roman" w:hAnsi="Arial" w:cs="Arial"/>
                <w:sz w:val="20"/>
                <w:szCs w:val="20"/>
                <w:lang w:val="en-GB"/>
              </w:rPr>
              <w:t>is also tasked with the</w:t>
            </w:r>
            <w:r w:rsidR="0049209D"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 xml:space="preserve">responsibilities and </w:t>
            </w:r>
            <w:r w:rsidR="00E8165F" w:rsidRPr="009B39EC">
              <w:rPr>
                <w:rFonts w:ascii="Arial" w:eastAsia="Times New Roman" w:hAnsi="Arial" w:cs="Arial"/>
                <w:sz w:val="20"/>
                <w:szCs w:val="20"/>
                <w:lang w:val="en-GB"/>
              </w:rPr>
              <w:t>duties</w:t>
            </w:r>
            <w:r w:rsidRPr="009B39EC">
              <w:rPr>
                <w:rFonts w:ascii="Arial" w:eastAsia="Times New Roman" w:hAnsi="Arial" w:cs="Arial"/>
                <w:sz w:val="20"/>
                <w:szCs w:val="20"/>
                <w:lang w:val="en-GB"/>
              </w:rPr>
              <w:t xml:space="preserve"> of </w:t>
            </w:r>
            <w:r w:rsidR="00E8165F" w:rsidRPr="009B39EC">
              <w:rPr>
                <w:rFonts w:ascii="Arial" w:eastAsia="Times New Roman" w:hAnsi="Arial" w:cs="Arial"/>
                <w:sz w:val="20"/>
                <w:szCs w:val="20"/>
                <w:lang w:val="en-GB"/>
              </w:rPr>
              <w:t>a</w:t>
            </w:r>
            <w:r w:rsidRPr="009B39EC">
              <w:rPr>
                <w:rFonts w:ascii="Arial" w:eastAsia="Times New Roman" w:hAnsi="Arial" w:cs="Arial"/>
                <w:sz w:val="20"/>
                <w:szCs w:val="20"/>
                <w:lang w:val="en-GB"/>
              </w:rPr>
              <w:t xml:space="preserve"> gender equality employee, </w:t>
            </w:r>
            <w:r w:rsidR="00445CB5" w:rsidRPr="009B39EC">
              <w:rPr>
                <w:rFonts w:ascii="Arial" w:eastAsia="Times New Roman" w:hAnsi="Arial" w:cs="Arial"/>
                <w:sz w:val="20"/>
                <w:szCs w:val="20"/>
                <w:lang w:val="en-GB"/>
              </w:rPr>
              <w:t>i.e.,</w:t>
            </w:r>
            <w:r w:rsidRPr="009B39EC">
              <w:rPr>
                <w:rFonts w:ascii="Arial" w:eastAsia="Times New Roman" w:hAnsi="Arial" w:cs="Arial"/>
                <w:sz w:val="20"/>
                <w:szCs w:val="20"/>
                <w:lang w:val="en-GB"/>
              </w:rPr>
              <w:t xml:space="preserve"> </w:t>
            </w:r>
            <w:r w:rsidR="00E8165F" w:rsidRPr="009B39EC">
              <w:rPr>
                <w:rFonts w:ascii="Arial" w:eastAsia="Times New Roman" w:hAnsi="Arial" w:cs="Arial"/>
                <w:sz w:val="20"/>
                <w:szCs w:val="20"/>
                <w:lang w:val="en-GB"/>
              </w:rPr>
              <w:t xml:space="preserve">they do not deal </w:t>
            </w:r>
            <w:r w:rsidR="00846A69" w:rsidRPr="009B39EC">
              <w:rPr>
                <w:rFonts w:ascii="Arial" w:eastAsia="Times New Roman" w:hAnsi="Arial" w:cs="Arial"/>
                <w:sz w:val="20"/>
                <w:szCs w:val="20"/>
                <w:lang w:val="en-GB"/>
              </w:rPr>
              <w:t>exclusively</w:t>
            </w:r>
            <w:r w:rsidR="00E8165F" w:rsidRPr="009B39EC">
              <w:rPr>
                <w:rFonts w:ascii="Arial" w:eastAsia="Times New Roman" w:hAnsi="Arial" w:cs="Arial"/>
                <w:sz w:val="20"/>
                <w:szCs w:val="20"/>
                <w:lang w:val="en-GB"/>
              </w:rPr>
              <w:t xml:space="preserve"> with gender </w:t>
            </w:r>
            <w:r w:rsidR="00846A69" w:rsidRPr="009B39EC">
              <w:rPr>
                <w:rFonts w:ascii="Arial" w:eastAsia="Times New Roman" w:hAnsi="Arial" w:cs="Arial"/>
                <w:sz w:val="20"/>
                <w:szCs w:val="20"/>
                <w:lang w:val="en-GB"/>
              </w:rPr>
              <w:t>issues,</w:t>
            </w:r>
            <w:r w:rsidR="00E8165F" w:rsidRPr="009B39EC">
              <w:rPr>
                <w:rFonts w:ascii="Arial" w:eastAsia="Times New Roman" w:hAnsi="Arial" w:cs="Arial"/>
                <w:sz w:val="20"/>
                <w:szCs w:val="20"/>
                <w:lang w:val="en-GB"/>
              </w:rPr>
              <w:t xml:space="preserve"> but their</w:t>
            </w:r>
            <w:r w:rsidRPr="009B39EC">
              <w:rPr>
                <w:rFonts w:ascii="Arial" w:eastAsia="Times New Roman" w:hAnsi="Arial" w:cs="Arial"/>
                <w:sz w:val="20"/>
                <w:szCs w:val="20"/>
                <w:lang w:val="en-GB"/>
              </w:rPr>
              <w:t xml:space="preserve"> job descriptions include the duties and obligations of a gender equality employee, pursuant to the Law on Gender Equality in Society. In addition to the 11 GEEs in the line ministries, the State Police and the </w:t>
            </w:r>
            <w:r w:rsidR="00445CB5" w:rsidRPr="009B39EC">
              <w:rPr>
                <w:rFonts w:ascii="Arial" w:eastAsia="Times New Roman" w:hAnsi="Arial" w:cs="Arial"/>
                <w:sz w:val="20"/>
                <w:szCs w:val="20"/>
                <w:lang w:val="en-GB"/>
              </w:rPr>
              <w:t>Ombudsperson’s</w:t>
            </w:r>
            <w:r w:rsidRPr="009B39EC">
              <w:rPr>
                <w:rFonts w:ascii="Arial" w:eastAsia="Times New Roman" w:hAnsi="Arial" w:cs="Arial"/>
                <w:sz w:val="20"/>
                <w:szCs w:val="20"/>
                <w:lang w:val="en-GB"/>
              </w:rPr>
              <w:t xml:space="preserve"> Office have each appointed contact persons in the role of the GEE (although this is not a legal obligation</w:t>
            </w:r>
            <w:r w:rsidR="00E50B1D" w:rsidRPr="009B39EC">
              <w:rPr>
                <w:rFonts w:ascii="Arial" w:eastAsia="Times New Roman" w:hAnsi="Arial" w:cs="Arial"/>
                <w:sz w:val="20"/>
                <w:szCs w:val="20"/>
                <w:lang w:val="en-GB"/>
              </w:rPr>
              <w:t>).</w:t>
            </w:r>
          </w:p>
        </w:tc>
      </w:tr>
      <w:tr w:rsidR="00E50B1D" w:rsidRPr="009B39EC" w14:paraId="4DC61066" w14:textId="77777777" w:rsidTr="00491D1F">
        <w:tc>
          <w:tcPr>
            <w:tcW w:w="2628" w:type="dxa"/>
          </w:tcPr>
          <w:p w14:paraId="78CCE831" w14:textId="6CBB955D"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2. </w:t>
            </w:r>
            <w:r w:rsidR="00C92A65" w:rsidRPr="009B39EC">
              <w:rPr>
                <w:rFonts w:ascii="Arial" w:hAnsi="Arial" w:cs="Arial"/>
                <w:sz w:val="20"/>
                <w:szCs w:val="20"/>
                <w:lang w:val="en-GB"/>
              </w:rPr>
              <w:t xml:space="preserve">By the end of 2020, </w:t>
            </w:r>
            <w:r w:rsidR="0049209D" w:rsidRPr="009B39EC">
              <w:rPr>
                <w:rFonts w:ascii="Arial" w:hAnsi="Arial" w:cs="Arial"/>
                <w:sz w:val="20"/>
                <w:szCs w:val="20"/>
                <w:lang w:val="en-GB"/>
              </w:rPr>
              <w:t>the number of full-time gender employees in local self-</w:t>
            </w:r>
            <w:r w:rsidR="0049209D" w:rsidRPr="009B39EC">
              <w:rPr>
                <w:rFonts w:ascii="Arial" w:hAnsi="Arial" w:cs="Arial"/>
                <w:sz w:val="20"/>
                <w:szCs w:val="20"/>
                <w:lang w:val="en-GB"/>
              </w:rPr>
              <w:lastRenderedPageBreak/>
              <w:t>governments to increase by 28</w:t>
            </w:r>
            <w:r w:rsidR="007515B1" w:rsidRPr="009B39EC">
              <w:rPr>
                <w:rFonts w:ascii="Arial" w:hAnsi="Arial" w:cs="Arial"/>
                <w:sz w:val="20"/>
                <w:szCs w:val="20"/>
                <w:lang w:val="en-GB"/>
              </w:rPr>
              <w:t>%</w:t>
            </w:r>
          </w:p>
        </w:tc>
        <w:tc>
          <w:tcPr>
            <w:tcW w:w="6930" w:type="dxa"/>
          </w:tcPr>
          <w:p w14:paraId="67F49104" w14:textId="377BB060" w:rsidR="00E50B1D" w:rsidRPr="009B39EC" w:rsidRDefault="00E50B1D" w:rsidP="00E50B1D">
            <w:pPr>
              <w:spacing w:after="0" w:line="240" w:lineRule="auto"/>
              <w:jc w:val="both"/>
              <w:rPr>
                <w:rFonts w:ascii="Arial" w:eastAsia="Times New Roman" w:hAnsi="Arial" w:cs="Arial"/>
                <w:sz w:val="20"/>
                <w:szCs w:val="20"/>
                <w:lang w:val="en-GB"/>
              </w:rPr>
            </w:pPr>
            <w:r w:rsidRPr="009B39EC">
              <w:rPr>
                <w:rFonts w:ascii="Arial" w:eastAsia="Times New Roman" w:hAnsi="Arial" w:cs="Arial"/>
                <w:sz w:val="20"/>
                <w:szCs w:val="20"/>
                <w:lang w:val="en-GB"/>
              </w:rPr>
              <w:lastRenderedPageBreak/>
              <w:t xml:space="preserve">58 </w:t>
            </w:r>
            <w:r w:rsidR="00C92A65" w:rsidRPr="009B39EC">
              <w:rPr>
                <w:rFonts w:ascii="Arial" w:eastAsia="Times New Roman" w:hAnsi="Arial" w:cs="Arial"/>
                <w:sz w:val="20"/>
                <w:szCs w:val="20"/>
                <w:lang w:val="en-GB"/>
              </w:rPr>
              <w:t xml:space="preserve">out of </w:t>
            </w:r>
            <w:r w:rsidRPr="009B39EC">
              <w:rPr>
                <w:rFonts w:ascii="Arial" w:eastAsia="Times New Roman" w:hAnsi="Arial" w:cs="Arial"/>
                <w:sz w:val="20"/>
                <w:szCs w:val="20"/>
                <w:lang w:val="en-GB"/>
              </w:rPr>
              <w:t xml:space="preserve">61 </w:t>
            </w:r>
            <w:r w:rsidR="00C92A65" w:rsidRPr="009B39EC">
              <w:rPr>
                <w:rFonts w:ascii="Arial" w:eastAsia="Times New Roman" w:hAnsi="Arial" w:cs="Arial"/>
                <w:sz w:val="20"/>
                <w:szCs w:val="20"/>
                <w:lang w:val="en-GB"/>
              </w:rPr>
              <w:t xml:space="preserve">municipalities have </w:t>
            </w:r>
            <w:r w:rsidR="00E8165F" w:rsidRPr="009B39EC">
              <w:rPr>
                <w:rFonts w:ascii="Arial" w:eastAsia="Times New Roman" w:hAnsi="Arial" w:cs="Arial"/>
                <w:sz w:val="20"/>
                <w:szCs w:val="20"/>
                <w:lang w:val="en-GB"/>
              </w:rPr>
              <w:t xml:space="preserve">already submitted </w:t>
            </w:r>
            <w:r w:rsidR="00C92A65" w:rsidRPr="009B39EC">
              <w:rPr>
                <w:rFonts w:ascii="Arial" w:eastAsia="Times New Roman" w:hAnsi="Arial" w:cs="Arial"/>
                <w:sz w:val="20"/>
                <w:szCs w:val="20"/>
                <w:lang w:val="en-GB"/>
              </w:rPr>
              <w:t>to the</w:t>
            </w:r>
            <w:r w:rsidRPr="009B39EC">
              <w:rPr>
                <w:rFonts w:ascii="Arial" w:eastAsia="Times New Roman" w:hAnsi="Arial" w:cs="Arial"/>
                <w:sz w:val="20"/>
                <w:szCs w:val="20"/>
                <w:lang w:val="en-GB"/>
              </w:rPr>
              <w:t xml:space="preserve"> </w:t>
            </w:r>
            <w:r w:rsidR="006A2F96" w:rsidRPr="009B39EC">
              <w:rPr>
                <w:rFonts w:ascii="Arial" w:eastAsia="Times New Roman" w:hAnsi="Arial" w:cs="Arial"/>
                <w:sz w:val="20"/>
                <w:szCs w:val="20"/>
                <w:lang w:val="en-GB"/>
              </w:rPr>
              <w:t>MHSP</w:t>
            </w:r>
            <w:r w:rsidRPr="009B39EC">
              <w:rPr>
                <w:rFonts w:ascii="Arial" w:eastAsia="Times New Roman" w:hAnsi="Arial" w:cs="Arial"/>
                <w:sz w:val="20"/>
                <w:szCs w:val="20"/>
                <w:lang w:val="en-GB"/>
              </w:rPr>
              <w:t xml:space="preserve"> </w:t>
            </w:r>
            <w:r w:rsidR="00C92A65" w:rsidRPr="009B39EC">
              <w:rPr>
                <w:rFonts w:ascii="Arial" w:eastAsia="Times New Roman" w:hAnsi="Arial" w:cs="Arial"/>
                <w:sz w:val="20"/>
                <w:szCs w:val="20"/>
                <w:lang w:val="en-GB"/>
              </w:rPr>
              <w:t>information on the full-time employee covering the duties of a GEE, as well as information on local coordinators for Gender Equality Issues and Child Protection Expert</w:t>
            </w:r>
            <w:r w:rsidR="00E8165F" w:rsidRPr="009B39EC">
              <w:rPr>
                <w:rFonts w:ascii="Arial" w:eastAsia="Times New Roman" w:hAnsi="Arial" w:cs="Arial"/>
                <w:sz w:val="20"/>
                <w:szCs w:val="20"/>
                <w:lang w:val="en-GB"/>
              </w:rPr>
              <w:t>s</w:t>
            </w:r>
            <w:r w:rsidR="00C92A65" w:rsidRPr="009B39EC">
              <w:rPr>
                <w:rFonts w:ascii="Arial" w:eastAsia="Times New Roman" w:hAnsi="Arial" w:cs="Arial"/>
                <w:sz w:val="20"/>
                <w:szCs w:val="20"/>
                <w:lang w:val="en-GB"/>
              </w:rPr>
              <w:t xml:space="preserve">. Three municipalities have attempted to create </w:t>
            </w:r>
            <w:r w:rsidR="00C92A65" w:rsidRPr="009B39EC">
              <w:rPr>
                <w:rFonts w:ascii="Arial" w:eastAsia="Times New Roman" w:hAnsi="Arial" w:cs="Arial"/>
                <w:sz w:val="20"/>
                <w:szCs w:val="20"/>
                <w:lang w:val="en-GB"/>
              </w:rPr>
              <w:lastRenderedPageBreak/>
              <w:t>separate positions</w:t>
            </w:r>
            <w:r w:rsidR="00E8165F" w:rsidRPr="009B39EC">
              <w:rPr>
                <w:rFonts w:ascii="Arial" w:eastAsia="Times New Roman" w:hAnsi="Arial" w:cs="Arial"/>
                <w:sz w:val="20"/>
                <w:szCs w:val="20"/>
                <w:lang w:val="en-GB"/>
              </w:rPr>
              <w:t xml:space="preserve"> for each;</w:t>
            </w:r>
            <w:r w:rsidR="00C92A65" w:rsidRPr="009B39EC">
              <w:rPr>
                <w:rFonts w:ascii="Arial" w:eastAsia="Times New Roman" w:hAnsi="Arial" w:cs="Arial"/>
                <w:sz w:val="20"/>
                <w:szCs w:val="20"/>
                <w:lang w:val="en-GB"/>
              </w:rPr>
              <w:t xml:space="preserve"> however, </w:t>
            </w:r>
            <w:proofErr w:type="gramStart"/>
            <w:r w:rsidR="00C92A65" w:rsidRPr="009B39EC">
              <w:rPr>
                <w:rFonts w:ascii="Arial" w:eastAsia="Times New Roman" w:hAnsi="Arial" w:cs="Arial"/>
                <w:sz w:val="20"/>
                <w:szCs w:val="20"/>
                <w:lang w:val="en-GB"/>
              </w:rPr>
              <w:t>at the moment</w:t>
            </w:r>
            <w:proofErr w:type="gramEnd"/>
            <w:r w:rsidR="00C92A65" w:rsidRPr="009B39EC">
              <w:rPr>
                <w:rFonts w:ascii="Arial" w:eastAsia="Times New Roman" w:hAnsi="Arial" w:cs="Arial"/>
                <w:sz w:val="20"/>
                <w:szCs w:val="20"/>
                <w:lang w:val="en-GB"/>
              </w:rPr>
              <w:t xml:space="preserve">, </w:t>
            </w:r>
            <w:r w:rsidR="00E8165F" w:rsidRPr="009B39EC">
              <w:rPr>
                <w:rFonts w:ascii="Arial" w:eastAsia="Times New Roman" w:hAnsi="Arial" w:cs="Arial"/>
                <w:sz w:val="20"/>
                <w:szCs w:val="20"/>
                <w:lang w:val="en-GB"/>
              </w:rPr>
              <w:t>due to the situation the country is in</w:t>
            </w:r>
            <w:r w:rsidR="00C92A65" w:rsidRPr="009B39EC">
              <w:rPr>
                <w:rFonts w:ascii="Arial" w:eastAsia="Times New Roman" w:hAnsi="Arial" w:cs="Arial"/>
                <w:sz w:val="20"/>
                <w:szCs w:val="20"/>
                <w:lang w:val="en-GB"/>
              </w:rPr>
              <w:t xml:space="preserve"> and problems with </w:t>
            </w:r>
            <w:r w:rsidR="00E8165F" w:rsidRPr="009B39EC">
              <w:rPr>
                <w:rFonts w:ascii="Arial" w:eastAsia="Times New Roman" w:hAnsi="Arial" w:cs="Arial"/>
                <w:sz w:val="20"/>
                <w:szCs w:val="20"/>
                <w:lang w:val="en-GB"/>
              </w:rPr>
              <w:t xml:space="preserve">LSGU </w:t>
            </w:r>
            <w:r w:rsidR="00C92A65" w:rsidRPr="009B39EC">
              <w:rPr>
                <w:rFonts w:ascii="Arial" w:eastAsia="Times New Roman" w:hAnsi="Arial" w:cs="Arial"/>
                <w:sz w:val="20"/>
                <w:szCs w:val="20"/>
                <w:lang w:val="en-GB"/>
              </w:rPr>
              <w:t xml:space="preserve">funding, the further separation of these roles is not </w:t>
            </w:r>
            <w:r w:rsidR="00E8165F" w:rsidRPr="009B39EC">
              <w:rPr>
                <w:rFonts w:ascii="Arial" w:eastAsia="Times New Roman" w:hAnsi="Arial" w:cs="Arial"/>
                <w:sz w:val="20"/>
                <w:szCs w:val="20"/>
                <w:lang w:val="en-GB"/>
              </w:rPr>
              <w:t>deemed</w:t>
            </w:r>
            <w:r w:rsidR="00C92A65" w:rsidRPr="009B39EC">
              <w:rPr>
                <w:rFonts w:ascii="Arial" w:eastAsia="Times New Roman" w:hAnsi="Arial" w:cs="Arial"/>
                <w:sz w:val="20"/>
                <w:szCs w:val="20"/>
                <w:lang w:val="en-GB"/>
              </w:rPr>
              <w:t xml:space="preserve"> </w:t>
            </w:r>
            <w:r w:rsidR="00E8165F" w:rsidRPr="009B39EC">
              <w:rPr>
                <w:rFonts w:ascii="Arial" w:eastAsia="Times New Roman" w:hAnsi="Arial" w:cs="Arial"/>
                <w:sz w:val="20"/>
                <w:szCs w:val="20"/>
                <w:lang w:val="en-GB"/>
              </w:rPr>
              <w:t>feasible</w:t>
            </w:r>
            <w:r w:rsidRPr="009B39EC">
              <w:rPr>
                <w:rFonts w:ascii="Arial" w:eastAsia="Times New Roman" w:hAnsi="Arial" w:cs="Arial"/>
                <w:sz w:val="20"/>
                <w:szCs w:val="20"/>
                <w:lang w:val="en-GB"/>
              </w:rPr>
              <w:t>.</w:t>
            </w:r>
          </w:p>
          <w:p w14:paraId="2C6C31FA" w14:textId="5D70F189" w:rsidR="00E50B1D" w:rsidRPr="009B39EC" w:rsidRDefault="00445CB5" w:rsidP="00E50B1D">
            <w:pPr>
              <w:spacing w:after="0" w:line="240" w:lineRule="auto"/>
              <w:jc w:val="both"/>
              <w:rPr>
                <w:rFonts w:ascii="Arial" w:hAnsi="Arial" w:cs="Arial"/>
                <w:sz w:val="20"/>
                <w:szCs w:val="20"/>
                <w:lang w:val="en-GB"/>
              </w:rPr>
            </w:pPr>
            <w:r w:rsidRPr="009B39EC">
              <w:rPr>
                <w:rFonts w:ascii="Arial" w:eastAsia="Times New Roman" w:hAnsi="Arial" w:cs="Arial"/>
                <w:sz w:val="20"/>
                <w:szCs w:val="20"/>
                <w:lang w:val="en-GB"/>
              </w:rPr>
              <w:t xml:space="preserve">In 2020, the </w:t>
            </w:r>
            <w:r w:rsidR="00E50B1D" w:rsidRPr="009B39EC">
              <w:rPr>
                <w:rFonts w:ascii="Arial" w:eastAsia="Times New Roman" w:hAnsi="Arial" w:cs="Arial"/>
                <w:sz w:val="20"/>
                <w:szCs w:val="20"/>
                <w:lang w:val="en-GB"/>
              </w:rPr>
              <w:t xml:space="preserve">PLGP/USAID </w:t>
            </w:r>
            <w:r w:rsidRPr="009B39EC">
              <w:rPr>
                <w:rFonts w:ascii="Arial" w:eastAsia="Times New Roman" w:hAnsi="Arial" w:cs="Arial"/>
                <w:sz w:val="20"/>
                <w:szCs w:val="20"/>
                <w:lang w:val="en-GB"/>
              </w:rPr>
              <w:t xml:space="preserve">Project conducted an analysis of the Gender Equality Employee </w:t>
            </w:r>
            <w:r w:rsidR="00E8165F" w:rsidRPr="009B39EC">
              <w:rPr>
                <w:rFonts w:ascii="Arial" w:eastAsia="Times New Roman" w:hAnsi="Arial" w:cs="Arial"/>
                <w:sz w:val="20"/>
                <w:szCs w:val="20"/>
                <w:lang w:val="en-GB"/>
              </w:rPr>
              <w:t xml:space="preserve">positions </w:t>
            </w:r>
            <w:r w:rsidRPr="009B39EC">
              <w:rPr>
                <w:rFonts w:ascii="Arial" w:eastAsia="Times New Roman" w:hAnsi="Arial" w:cs="Arial"/>
                <w:sz w:val="20"/>
                <w:szCs w:val="20"/>
                <w:lang w:val="en-GB"/>
              </w:rPr>
              <w:t xml:space="preserve">at the local level and </w:t>
            </w:r>
            <w:r w:rsidR="00E8165F" w:rsidRPr="009B39EC">
              <w:rPr>
                <w:rFonts w:ascii="Arial" w:eastAsia="Times New Roman" w:hAnsi="Arial" w:cs="Arial"/>
                <w:sz w:val="20"/>
                <w:szCs w:val="20"/>
                <w:lang w:val="en-GB"/>
              </w:rPr>
              <w:t xml:space="preserve">emphasised </w:t>
            </w:r>
            <w:r w:rsidRPr="009B39EC">
              <w:rPr>
                <w:rFonts w:ascii="Arial" w:eastAsia="Times New Roman" w:hAnsi="Arial" w:cs="Arial"/>
                <w:sz w:val="20"/>
                <w:szCs w:val="20"/>
                <w:lang w:val="en-GB"/>
              </w:rPr>
              <w:t xml:space="preserve">the necessity to have a full-time position dedicated exclusively to gender equality issues. </w:t>
            </w:r>
            <w:r w:rsidR="00E16285" w:rsidRPr="009B39EC">
              <w:rPr>
                <w:rFonts w:ascii="Arial" w:eastAsia="Times New Roman" w:hAnsi="Arial" w:cs="Arial"/>
                <w:sz w:val="20"/>
                <w:szCs w:val="20"/>
                <w:lang w:val="en-GB"/>
              </w:rPr>
              <w:t>It also contained a</w:t>
            </w:r>
            <w:r w:rsidRPr="009B39EC">
              <w:rPr>
                <w:rFonts w:ascii="Arial" w:eastAsia="Times New Roman" w:hAnsi="Arial" w:cs="Arial"/>
                <w:sz w:val="20"/>
                <w:szCs w:val="20"/>
                <w:lang w:val="en-GB"/>
              </w:rPr>
              <w:t xml:space="preserve"> detailed analysis of </w:t>
            </w:r>
            <w:r w:rsidR="00E16285" w:rsidRPr="009B39EC">
              <w:rPr>
                <w:rFonts w:ascii="Arial" w:eastAsia="Times New Roman" w:hAnsi="Arial" w:cs="Arial"/>
                <w:sz w:val="20"/>
                <w:szCs w:val="20"/>
                <w:lang w:val="en-GB"/>
              </w:rPr>
              <w:t xml:space="preserve">improvements that need to be made to </w:t>
            </w:r>
            <w:r w:rsidRPr="009B39EC">
              <w:rPr>
                <w:rFonts w:ascii="Arial" w:eastAsia="Times New Roman" w:hAnsi="Arial" w:cs="Arial"/>
                <w:sz w:val="20"/>
                <w:szCs w:val="20"/>
                <w:lang w:val="en-GB"/>
              </w:rPr>
              <w:t xml:space="preserve">the legal framework </w:t>
            </w:r>
            <w:proofErr w:type="gramStart"/>
            <w:r w:rsidRPr="009B39EC">
              <w:rPr>
                <w:rFonts w:ascii="Arial" w:eastAsia="Times New Roman" w:hAnsi="Arial" w:cs="Arial"/>
                <w:sz w:val="20"/>
                <w:szCs w:val="20"/>
                <w:lang w:val="en-GB"/>
              </w:rPr>
              <w:t>in order to</w:t>
            </w:r>
            <w:proofErr w:type="gramEnd"/>
            <w:r w:rsidRPr="009B39EC">
              <w:rPr>
                <w:rFonts w:ascii="Arial" w:eastAsia="Times New Roman" w:hAnsi="Arial" w:cs="Arial"/>
                <w:sz w:val="20"/>
                <w:szCs w:val="20"/>
                <w:lang w:val="en-GB"/>
              </w:rPr>
              <w:t xml:space="preserve"> highlight the</w:t>
            </w:r>
            <w:r w:rsidR="00E16285" w:rsidRPr="009B39EC">
              <w:rPr>
                <w:rFonts w:ascii="Arial" w:eastAsia="Times New Roman" w:hAnsi="Arial" w:cs="Arial"/>
                <w:sz w:val="20"/>
                <w:szCs w:val="20"/>
                <w:lang w:val="en-GB"/>
              </w:rPr>
              <w:t xml:space="preserve"> importance of their </w:t>
            </w:r>
            <w:r w:rsidRPr="009B39EC">
              <w:rPr>
                <w:rFonts w:ascii="Arial" w:eastAsia="Times New Roman" w:hAnsi="Arial" w:cs="Arial"/>
                <w:sz w:val="20"/>
                <w:szCs w:val="20"/>
                <w:lang w:val="en-GB"/>
              </w:rPr>
              <w:t xml:space="preserve">role and ensure more support </w:t>
            </w:r>
            <w:r w:rsidR="00E16285" w:rsidRPr="009B39EC">
              <w:rPr>
                <w:rFonts w:ascii="Arial" w:eastAsia="Times New Roman" w:hAnsi="Arial" w:cs="Arial"/>
                <w:sz w:val="20"/>
                <w:szCs w:val="20"/>
                <w:lang w:val="en-GB"/>
              </w:rPr>
              <w:t>f</w:t>
            </w:r>
            <w:r w:rsidRPr="009B39EC">
              <w:rPr>
                <w:rFonts w:ascii="Arial" w:eastAsia="Times New Roman" w:hAnsi="Arial" w:cs="Arial"/>
                <w:sz w:val="20"/>
                <w:szCs w:val="20"/>
                <w:lang w:val="en-GB"/>
              </w:rPr>
              <w:t>o</w:t>
            </w:r>
            <w:r w:rsidR="00E16285" w:rsidRPr="009B39EC">
              <w:rPr>
                <w:rFonts w:ascii="Arial" w:eastAsia="Times New Roman" w:hAnsi="Arial" w:cs="Arial"/>
                <w:sz w:val="20"/>
                <w:szCs w:val="20"/>
                <w:lang w:val="en-GB"/>
              </w:rPr>
              <w:t>r</w:t>
            </w:r>
            <w:r w:rsidRPr="009B39EC">
              <w:rPr>
                <w:rFonts w:ascii="Arial" w:eastAsia="Times New Roman" w:hAnsi="Arial" w:cs="Arial"/>
                <w:sz w:val="20"/>
                <w:szCs w:val="20"/>
                <w:lang w:val="en-GB"/>
              </w:rPr>
              <w:t xml:space="preserve"> GEEs in Local Self-Government Units</w:t>
            </w:r>
            <w:r w:rsidR="00E50B1D" w:rsidRPr="009B39EC">
              <w:rPr>
                <w:rFonts w:ascii="Arial" w:eastAsia="Times New Roman" w:hAnsi="Arial" w:cs="Arial"/>
                <w:sz w:val="20"/>
                <w:szCs w:val="20"/>
                <w:lang w:val="en-GB"/>
              </w:rPr>
              <w:t>.</w:t>
            </w:r>
          </w:p>
        </w:tc>
      </w:tr>
      <w:tr w:rsidR="00E50B1D" w:rsidRPr="009B39EC" w14:paraId="59AF64EB" w14:textId="77777777" w:rsidTr="00D575F2">
        <w:tc>
          <w:tcPr>
            <w:tcW w:w="9558" w:type="dxa"/>
            <w:gridSpan w:val="2"/>
            <w:shd w:val="clear" w:color="auto" w:fill="FBE4D5" w:themeFill="accent2" w:themeFillTint="33"/>
          </w:tcPr>
          <w:p w14:paraId="426FE4F5" w14:textId="4B0DBFE3" w:rsidR="00E50B1D" w:rsidRPr="009B39EC" w:rsidRDefault="00127B55" w:rsidP="00C92A65">
            <w:pPr>
              <w:rPr>
                <w:rFonts w:ascii="Arial" w:hAnsi="Arial" w:cs="Arial"/>
                <w:sz w:val="20"/>
                <w:szCs w:val="20"/>
                <w:lang w:val="en-GB"/>
              </w:rPr>
            </w:pPr>
            <w:r w:rsidRPr="009B39EC">
              <w:rPr>
                <w:rFonts w:ascii="Arial" w:hAnsi="Arial" w:cs="Arial"/>
                <w:b/>
                <w:sz w:val="20"/>
                <w:szCs w:val="20"/>
                <w:u w:val="single"/>
                <w:lang w:val="en-GB"/>
              </w:rPr>
              <w:lastRenderedPageBreak/>
              <w:t>Specific objective</w:t>
            </w:r>
            <w:r w:rsidR="00C92A65" w:rsidRPr="009B39EC">
              <w:rPr>
                <w:rFonts w:ascii="Arial" w:hAnsi="Arial" w:cs="Arial"/>
                <w:b/>
                <w:sz w:val="20"/>
                <w:szCs w:val="20"/>
                <w:u w:val="single"/>
                <w:lang w:val="en-GB"/>
              </w:rPr>
              <w:t xml:space="preserve"> </w:t>
            </w:r>
            <w:r w:rsidR="00E50B1D" w:rsidRPr="009B39EC">
              <w:rPr>
                <w:rFonts w:ascii="Arial" w:hAnsi="Arial" w:cs="Arial"/>
                <w:b/>
                <w:sz w:val="20"/>
                <w:szCs w:val="20"/>
                <w:u w:val="single"/>
                <w:lang w:val="en-GB"/>
              </w:rPr>
              <w:t>4.3</w:t>
            </w:r>
            <w:r w:rsidR="00E50B1D" w:rsidRPr="009B39EC">
              <w:rPr>
                <w:rFonts w:ascii="Arial" w:hAnsi="Arial" w:cs="Arial"/>
                <w:b/>
                <w:sz w:val="20"/>
                <w:szCs w:val="20"/>
                <w:lang w:val="en-GB"/>
              </w:rPr>
              <w:t xml:space="preserve">: </w:t>
            </w:r>
            <w:r w:rsidR="00C92A65" w:rsidRPr="009B39EC">
              <w:rPr>
                <w:rFonts w:ascii="Arial" w:hAnsi="Arial" w:cs="Arial"/>
                <w:b/>
                <w:sz w:val="20"/>
                <w:szCs w:val="20"/>
                <w:lang w:val="en-GB"/>
              </w:rPr>
              <w:t>Application of gender responsive budgeting in implementation of the legislation in force, as well as gender-sensitive planning at all levels, in policy making and decision-making</w:t>
            </w:r>
            <w:r w:rsidR="00E50B1D" w:rsidRPr="009B39EC">
              <w:rPr>
                <w:rFonts w:ascii="Arial" w:hAnsi="Arial" w:cs="Arial"/>
                <w:b/>
                <w:sz w:val="20"/>
                <w:szCs w:val="20"/>
                <w:lang w:val="en-GB"/>
              </w:rPr>
              <w:t>.</w:t>
            </w:r>
          </w:p>
        </w:tc>
      </w:tr>
      <w:tr w:rsidR="00E50B1D" w:rsidRPr="009B39EC" w14:paraId="216C9C5C" w14:textId="77777777" w:rsidTr="00D575F2">
        <w:trPr>
          <w:trHeight w:val="395"/>
        </w:trPr>
        <w:tc>
          <w:tcPr>
            <w:tcW w:w="9558" w:type="dxa"/>
            <w:gridSpan w:val="2"/>
            <w:shd w:val="clear" w:color="auto" w:fill="FBE4D5" w:themeFill="accent2" w:themeFillTint="33"/>
          </w:tcPr>
          <w:p w14:paraId="38BF6403" w14:textId="3B1FA4B7" w:rsidR="00E50B1D" w:rsidRPr="009B39EC" w:rsidRDefault="00127B55" w:rsidP="00C92A65">
            <w:pPr>
              <w:rPr>
                <w:rFonts w:ascii="Arial" w:hAnsi="Arial" w:cs="Arial"/>
                <w:sz w:val="20"/>
                <w:szCs w:val="20"/>
                <w:lang w:val="en-GB"/>
              </w:rPr>
            </w:pPr>
            <w:r w:rsidRPr="009B39EC">
              <w:rPr>
                <w:rFonts w:ascii="Arial" w:eastAsia="Times New Roman" w:hAnsi="Arial" w:cs="Arial"/>
                <w:b/>
                <w:iCs/>
                <w:sz w:val="20"/>
                <w:szCs w:val="20"/>
                <w:u w:val="single"/>
                <w:lang w:val="en-GB"/>
              </w:rPr>
              <w:t>Objective indicator</w:t>
            </w:r>
            <w:r w:rsidR="00E50B1D" w:rsidRPr="009B39EC">
              <w:rPr>
                <w:rFonts w:ascii="Arial" w:eastAsia="Times New Roman" w:hAnsi="Arial" w:cs="Arial"/>
                <w:b/>
                <w:iCs/>
                <w:sz w:val="20"/>
                <w:szCs w:val="20"/>
                <w:u w:val="single"/>
                <w:lang w:val="en-GB"/>
              </w:rPr>
              <w:t>:</w:t>
            </w:r>
            <w:r w:rsidR="00E50B1D" w:rsidRPr="009B39EC">
              <w:rPr>
                <w:rFonts w:ascii="Arial" w:eastAsia="Times New Roman" w:hAnsi="Arial" w:cs="Arial"/>
                <w:i/>
                <w:iCs/>
                <w:sz w:val="20"/>
                <w:szCs w:val="20"/>
                <w:lang w:val="en-GB"/>
              </w:rPr>
              <w:t xml:space="preserve"> </w:t>
            </w:r>
            <w:r w:rsidR="00C92A65" w:rsidRPr="009B39EC">
              <w:rPr>
                <w:rFonts w:ascii="Arial" w:hAnsi="Arial" w:cs="Arial"/>
                <w:b/>
                <w:sz w:val="20"/>
                <w:szCs w:val="20"/>
                <w:lang w:val="en-GB"/>
              </w:rPr>
              <w:t xml:space="preserve">By the end of 2020, </w:t>
            </w:r>
            <w:r w:rsidR="00445CB5" w:rsidRPr="009B39EC">
              <w:rPr>
                <w:rFonts w:ascii="Arial" w:hAnsi="Arial" w:cs="Arial"/>
                <w:b/>
                <w:sz w:val="20"/>
                <w:szCs w:val="20"/>
                <w:lang w:val="en-GB"/>
              </w:rPr>
              <w:t>gender responsive</w:t>
            </w:r>
            <w:r w:rsidR="00C92A65" w:rsidRPr="009B39EC">
              <w:rPr>
                <w:rFonts w:ascii="Arial" w:hAnsi="Arial" w:cs="Arial"/>
                <w:b/>
                <w:sz w:val="20"/>
                <w:szCs w:val="20"/>
                <w:lang w:val="en-GB"/>
              </w:rPr>
              <w:t xml:space="preserve"> budgeting and gender sensitive planning in policy and decision-making</w:t>
            </w:r>
            <w:r w:rsidR="00E16285" w:rsidRPr="009B39EC">
              <w:rPr>
                <w:rFonts w:ascii="Arial" w:hAnsi="Arial" w:cs="Arial"/>
                <w:b/>
                <w:sz w:val="20"/>
                <w:szCs w:val="20"/>
                <w:lang w:val="en-GB"/>
              </w:rPr>
              <w:t xml:space="preserve"> are</w:t>
            </w:r>
            <w:r w:rsidR="00C92A65" w:rsidRPr="009B39EC">
              <w:rPr>
                <w:rFonts w:ascii="Arial" w:hAnsi="Arial" w:cs="Arial"/>
                <w:b/>
                <w:sz w:val="20"/>
                <w:szCs w:val="20"/>
                <w:lang w:val="en-GB"/>
              </w:rPr>
              <w:t xml:space="preserve"> applied at all levels of government</w:t>
            </w:r>
            <w:r w:rsidR="00E50B1D" w:rsidRPr="009B39EC">
              <w:rPr>
                <w:rFonts w:ascii="Arial" w:hAnsi="Arial" w:cs="Arial"/>
                <w:bCs/>
                <w:sz w:val="20"/>
                <w:szCs w:val="20"/>
                <w:lang w:val="en-GB"/>
              </w:rPr>
              <w:t>.</w:t>
            </w:r>
          </w:p>
        </w:tc>
      </w:tr>
      <w:tr w:rsidR="00E50B1D" w:rsidRPr="009B39EC" w14:paraId="5E0133E1" w14:textId="77777777" w:rsidTr="00D575F2">
        <w:tc>
          <w:tcPr>
            <w:tcW w:w="9558" w:type="dxa"/>
            <w:gridSpan w:val="2"/>
            <w:shd w:val="clear" w:color="auto" w:fill="FBE4D5" w:themeFill="accent2" w:themeFillTint="33"/>
          </w:tcPr>
          <w:p w14:paraId="5EB74405" w14:textId="4F3E8240" w:rsidR="00E50B1D" w:rsidRPr="009B39EC" w:rsidRDefault="007515B1" w:rsidP="00D575F2">
            <w:pPr>
              <w:shd w:val="clear" w:color="auto" w:fill="EDEDED" w:themeFill="accent3" w:themeFillTint="33"/>
              <w:spacing w:after="0" w:line="240" w:lineRule="auto"/>
              <w:jc w:val="both"/>
              <w:rPr>
                <w:rFonts w:ascii="Arial" w:hAnsi="Arial" w:cs="Arial"/>
                <w:b/>
                <w:sz w:val="20"/>
                <w:szCs w:val="20"/>
                <w:u w:val="single"/>
                <w:lang w:val="en-GB"/>
              </w:rPr>
            </w:pPr>
            <w:r w:rsidRPr="009B39EC">
              <w:rPr>
                <w:rFonts w:ascii="Arial" w:hAnsi="Arial" w:cs="Arial"/>
                <w:b/>
                <w:sz w:val="20"/>
                <w:szCs w:val="20"/>
                <w:u w:val="single"/>
                <w:lang w:val="en-GB"/>
              </w:rPr>
              <w:t>Realisation of the objective</w:t>
            </w:r>
            <w:r w:rsidR="00E50B1D" w:rsidRPr="009B39EC">
              <w:rPr>
                <w:rFonts w:ascii="Arial" w:hAnsi="Arial" w:cs="Arial"/>
                <w:b/>
                <w:sz w:val="20"/>
                <w:szCs w:val="20"/>
                <w:u w:val="single"/>
                <w:lang w:val="en-GB"/>
              </w:rPr>
              <w:t xml:space="preserve">:  </w:t>
            </w:r>
            <w:r w:rsidR="006D66D8" w:rsidRPr="009B39EC">
              <w:rPr>
                <w:rFonts w:ascii="Arial" w:eastAsia="Times New Roman" w:hAnsi="Arial" w:cs="Arial"/>
                <w:b/>
                <w:iCs/>
                <w:color w:val="ED7D31" w:themeColor="accent2"/>
                <w:sz w:val="20"/>
                <w:szCs w:val="20"/>
                <w:lang w:val="en-GB"/>
              </w:rPr>
              <w:t>NEARLY</w:t>
            </w:r>
            <w:r w:rsidR="00E50B1D" w:rsidRPr="009B39EC">
              <w:rPr>
                <w:rFonts w:ascii="Arial" w:eastAsia="Times New Roman" w:hAnsi="Arial" w:cs="Arial"/>
                <w:b/>
                <w:iCs/>
                <w:color w:val="ED7D31" w:themeColor="accent2"/>
                <w:sz w:val="20"/>
                <w:szCs w:val="20"/>
                <w:lang w:val="en-GB"/>
              </w:rPr>
              <w:t xml:space="preserve"> </w:t>
            </w:r>
            <w:r w:rsidR="006D66D8" w:rsidRPr="009B39EC">
              <w:rPr>
                <w:rFonts w:ascii="Arial" w:eastAsia="Times New Roman" w:hAnsi="Arial" w:cs="Arial"/>
                <w:b/>
                <w:iCs/>
                <w:color w:val="ED7D31" w:themeColor="accent2"/>
                <w:sz w:val="20"/>
                <w:szCs w:val="20"/>
                <w:lang w:val="en-GB"/>
              </w:rPr>
              <w:t>FULLY</w:t>
            </w:r>
            <w:r w:rsidR="00E50B1D" w:rsidRPr="009B39EC">
              <w:rPr>
                <w:rFonts w:ascii="Arial" w:eastAsia="Times New Roman" w:hAnsi="Arial" w:cs="Arial"/>
                <w:b/>
                <w:iCs/>
                <w:color w:val="ED7D31" w:themeColor="accent2"/>
                <w:sz w:val="20"/>
                <w:szCs w:val="20"/>
                <w:lang w:val="en-GB"/>
              </w:rPr>
              <w:t xml:space="preserve"> </w:t>
            </w:r>
            <w:r w:rsidR="00A72B1D" w:rsidRPr="009B39EC">
              <w:rPr>
                <w:rFonts w:ascii="Arial" w:eastAsia="Times New Roman" w:hAnsi="Arial" w:cs="Arial"/>
                <w:b/>
                <w:iCs/>
                <w:color w:val="ED7D31" w:themeColor="accent2"/>
                <w:sz w:val="20"/>
                <w:szCs w:val="20"/>
                <w:lang w:val="en-GB"/>
              </w:rPr>
              <w:t xml:space="preserve">REALISED </w:t>
            </w:r>
            <w:r w:rsidR="00E50B1D" w:rsidRPr="009B39EC">
              <w:rPr>
                <w:rFonts w:ascii="Arial" w:eastAsia="Times New Roman" w:hAnsi="Arial" w:cs="Arial"/>
                <w:b/>
                <w:iCs/>
                <w:color w:val="ED7D31" w:themeColor="accent2"/>
                <w:sz w:val="20"/>
                <w:szCs w:val="20"/>
                <w:lang w:val="en-GB"/>
              </w:rPr>
              <w:t>(90</w:t>
            </w:r>
            <w:r w:rsidRPr="009B39EC">
              <w:rPr>
                <w:rFonts w:ascii="Arial" w:eastAsia="Times New Roman" w:hAnsi="Arial" w:cs="Arial"/>
                <w:b/>
                <w:iCs/>
                <w:color w:val="ED7D31" w:themeColor="accent2"/>
                <w:sz w:val="20"/>
                <w:szCs w:val="20"/>
                <w:lang w:val="en-GB"/>
              </w:rPr>
              <w:t>%</w:t>
            </w:r>
            <w:r w:rsidR="00E50B1D" w:rsidRPr="009B39EC">
              <w:rPr>
                <w:rFonts w:ascii="Arial" w:eastAsia="Times New Roman" w:hAnsi="Arial" w:cs="Arial"/>
                <w:b/>
                <w:iCs/>
                <w:color w:val="ED7D31" w:themeColor="accent2"/>
                <w:sz w:val="20"/>
                <w:szCs w:val="20"/>
                <w:lang w:val="en-GB"/>
              </w:rPr>
              <w:t>).</w:t>
            </w:r>
          </w:p>
          <w:p w14:paraId="37B96269" w14:textId="0510C854" w:rsidR="00E50B1D" w:rsidRPr="009B39EC" w:rsidRDefault="00D575F2" w:rsidP="00D575F2">
            <w:pPr>
              <w:shd w:val="clear" w:color="auto" w:fill="EDEDED" w:themeFill="accent3" w:themeFillTint="33"/>
              <w:spacing w:after="0" w:line="240" w:lineRule="auto"/>
              <w:jc w:val="both"/>
              <w:rPr>
                <w:rFonts w:ascii="Arial" w:hAnsi="Arial" w:cs="Arial"/>
                <w:b/>
                <w:sz w:val="20"/>
                <w:szCs w:val="20"/>
                <w:u w:val="single"/>
                <w:lang w:val="en-GB"/>
              </w:rPr>
            </w:pPr>
            <w:r w:rsidRPr="009B39EC">
              <w:rPr>
                <w:rFonts w:ascii="Arial" w:hAnsi="Arial" w:cs="Arial"/>
                <w:b/>
                <w:sz w:val="20"/>
                <w:szCs w:val="20"/>
                <w:u w:val="single"/>
                <w:lang w:val="en-GB"/>
              </w:rPr>
              <w:t xml:space="preserve">  </w:t>
            </w:r>
          </w:p>
        </w:tc>
      </w:tr>
      <w:tr w:rsidR="00E50B1D" w:rsidRPr="009B39EC" w14:paraId="4FC97E7D" w14:textId="77777777" w:rsidTr="00D575F2">
        <w:tc>
          <w:tcPr>
            <w:tcW w:w="2628" w:type="dxa"/>
            <w:shd w:val="clear" w:color="auto" w:fill="FBE4D5" w:themeFill="accent2" w:themeFillTint="33"/>
          </w:tcPr>
          <w:p w14:paraId="6F30217E" w14:textId="37891004"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Outcomes expected to be achieved by </w:t>
            </w:r>
            <w:r w:rsidR="00585418" w:rsidRPr="009B39EC">
              <w:rPr>
                <w:rFonts w:ascii="Arial" w:hAnsi="Arial" w:cs="Arial"/>
                <w:b/>
                <w:sz w:val="20"/>
                <w:szCs w:val="20"/>
                <w:lang w:val="en-GB"/>
              </w:rPr>
              <w:t>2020</w:t>
            </w:r>
          </w:p>
        </w:tc>
        <w:tc>
          <w:tcPr>
            <w:tcW w:w="6930" w:type="dxa"/>
            <w:shd w:val="clear" w:color="auto" w:fill="FBE4D5" w:themeFill="accent2" w:themeFillTint="33"/>
          </w:tcPr>
          <w:p w14:paraId="2481C80D" w14:textId="77777777" w:rsidR="00E50B1D" w:rsidRPr="009B39EC" w:rsidRDefault="00E50B1D" w:rsidP="00E50B1D">
            <w:pPr>
              <w:spacing w:after="0" w:line="240" w:lineRule="auto"/>
              <w:jc w:val="center"/>
              <w:rPr>
                <w:rFonts w:ascii="Arial" w:hAnsi="Arial" w:cs="Arial"/>
                <w:b/>
                <w:sz w:val="20"/>
                <w:szCs w:val="20"/>
                <w:lang w:val="en-GB"/>
              </w:rPr>
            </w:pPr>
          </w:p>
          <w:p w14:paraId="21E45625" w14:textId="118B3C65"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00741E" w:rsidRPr="009B39EC">
              <w:rPr>
                <w:rFonts w:ascii="Arial" w:hAnsi="Arial" w:cs="Arial"/>
                <w:b/>
                <w:sz w:val="20"/>
                <w:szCs w:val="20"/>
                <w:lang w:val="en-GB"/>
              </w:rPr>
              <w:t>2020</w:t>
            </w:r>
          </w:p>
        </w:tc>
      </w:tr>
      <w:tr w:rsidR="00E50B1D" w:rsidRPr="009B39EC" w14:paraId="7B278FF4" w14:textId="77777777" w:rsidTr="00491D1F">
        <w:tc>
          <w:tcPr>
            <w:tcW w:w="2628" w:type="dxa"/>
          </w:tcPr>
          <w:p w14:paraId="31CEB757" w14:textId="0D001198" w:rsidR="00C92A65" w:rsidRPr="009B39EC" w:rsidRDefault="00E50B1D" w:rsidP="00C92A65">
            <w:pPr>
              <w:rPr>
                <w:rFonts w:ascii="Arial" w:hAnsi="Arial" w:cs="Arial"/>
                <w:sz w:val="20"/>
                <w:szCs w:val="20"/>
                <w:lang w:val="en-GB"/>
              </w:rPr>
            </w:pPr>
            <w:r w:rsidRPr="009B39EC">
              <w:rPr>
                <w:rFonts w:ascii="Arial" w:hAnsi="Arial" w:cs="Arial"/>
                <w:sz w:val="20"/>
                <w:szCs w:val="20"/>
                <w:lang w:val="en-GB"/>
              </w:rPr>
              <w:t xml:space="preserve">1. </w:t>
            </w:r>
            <w:r w:rsidR="00A3543A" w:rsidRPr="009B39EC">
              <w:rPr>
                <w:rFonts w:ascii="Arial" w:eastAsia="Times New Roman" w:hAnsi="Arial" w:cs="Arial"/>
                <w:sz w:val="20"/>
                <w:szCs w:val="20"/>
                <w:lang w:val="en-GB"/>
              </w:rPr>
              <w:t>By the end of 2020</w:t>
            </w:r>
            <w:r w:rsidRPr="009B39EC">
              <w:rPr>
                <w:rFonts w:ascii="Arial" w:eastAsia="Times New Roman" w:hAnsi="Arial" w:cs="Arial"/>
                <w:sz w:val="20"/>
                <w:szCs w:val="20"/>
                <w:lang w:val="en-GB"/>
              </w:rPr>
              <w:t xml:space="preserve">, </w:t>
            </w:r>
            <w:r w:rsidR="00C92A65" w:rsidRPr="009B39EC">
              <w:rPr>
                <w:rFonts w:ascii="Arial" w:eastAsia="Times New Roman" w:hAnsi="Arial" w:cs="Arial"/>
                <w:sz w:val="20"/>
                <w:szCs w:val="20"/>
                <w:lang w:val="en-GB"/>
              </w:rPr>
              <w:t xml:space="preserve">By the end of 2020, </w:t>
            </w:r>
            <w:r w:rsidR="00445CB5" w:rsidRPr="009B39EC">
              <w:rPr>
                <w:rFonts w:ascii="Arial" w:eastAsia="Times New Roman" w:hAnsi="Arial" w:cs="Arial"/>
                <w:sz w:val="20"/>
                <w:szCs w:val="20"/>
                <w:lang w:val="en-GB"/>
              </w:rPr>
              <w:t>gender responsive</w:t>
            </w:r>
            <w:r w:rsidR="00C92A65" w:rsidRPr="009B39EC">
              <w:rPr>
                <w:rFonts w:ascii="Arial" w:eastAsia="Times New Roman" w:hAnsi="Arial" w:cs="Arial"/>
                <w:sz w:val="20"/>
                <w:szCs w:val="20"/>
                <w:lang w:val="en-GB"/>
              </w:rPr>
              <w:t xml:space="preserve"> budgeting and gender sensitive planning in policy and decision-making</w:t>
            </w:r>
            <w:r w:rsidR="00E16285" w:rsidRPr="009B39EC">
              <w:rPr>
                <w:rFonts w:ascii="Arial" w:eastAsia="Times New Roman" w:hAnsi="Arial" w:cs="Arial"/>
                <w:sz w:val="20"/>
                <w:szCs w:val="20"/>
                <w:lang w:val="en-GB"/>
              </w:rPr>
              <w:t xml:space="preserve"> are</w:t>
            </w:r>
            <w:r w:rsidR="00C92A65" w:rsidRPr="009B39EC">
              <w:rPr>
                <w:rFonts w:ascii="Arial" w:eastAsia="Times New Roman" w:hAnsi="Arial" w:cs="Arial"/>
                <w:sz w:val="20"/>
                <w:szCs w:val="20"/>
                <w:lang w:val="en-GB"/>
              </w:rPr>
              <w:t xml:space="preserve"> applied at all levels of government</w:t>
            </w:r>
            <w:r w:rsidR="00C92A65" w:rsidRPr="009B39EC">
              <w:rPr>
                <w:rFonts w:ascii="Arial" w:hAnsi="Arial" w:cs="Arial"/>
                <w:sz w:val="20"/>
                <w:szCs w:val="20"/>
                <w:lang w:val="en-GB"/>
              </w:rPr>
              <w:t>.</w:t>
            </w:r>
          </w:p>
          <w:p w14:paraId="00067255" w14:textId="625C5993"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w:t>
            </w:r>
          </w:p>
        </w:tc>
        <w:tc>
          <w:tcPr>
            <w:tcW w:w="6930" w:type="dxa"/>
          </w:tcPr>
          <w:p w14:paraId="125CD018" w14:textId="13AD885A" w:rsidR="00E50B1D" w:rsidRPr="009B39EC" w:rsidRDefault="00445CB5" w:rsidP="00E50B1D">
            <w:pPr>
              <w:spacing w:after="0" w:line="240" w:lineRule="auto"/>
              <w:jc w:val="both"/>
              <w:rPr>
                <w:rFonts w:ascii="Arial" w:eastAsia="Times New Roman" w:hAnsi="Arial" w:cs="Arial"/>
                <w:sz w:val="20"/>
                <w:szCs w:val="20"/>
                <w:lang w:val="en-GB"/>
              </w:rPr>
            </w:pPr>
            <w:r w:rsidRPr="009B39EC">
              <w:rPr>
                <w:rFonts w:ascii="Arial" w:eastAsia="Times New Roman" w:hAnsi="Arial" w:cs="Arial"/>
                <w:sz w:val="20"/>
                <w:szCs w:val="20"/>
                <w:lang w:val="en-GB"/>
              </w:rPr>
              <w:t>Gender Responsive Budgeting (GRB) is part of the 2015-2020 National Strategy for Development and Integration. GRB has also been incorporated in the management of the budgetary system, by introducing amendments to the relevant law</w:t>
            </w:r>
            <w:r w:rsidR="00E50B1D" w:rsidRPr="009B39EC">
              <w:rPr>
                <w:rFonts w:ascii="Arial" w:eastAsia="Times New Roman" w:hAnsi="Arial" w:cs="Arial"/>
                <w:sz w:val="20"/>
                <w:szCs w:val="20"/>
                <w:lang w:val="en-GB"/>
              </w:rPr>
              <w:t xml:space="preserve"> (2016). </w:t>
            </w:r>
            <w:r w:rsidRPr="009B39EC">
              <w:rPr>
                <w:rFonts w:ascii="Arial" w:eastAsia="Times New Roman" w:hAnsi="Arial" w:cs="Arial"/>
                <w:sz w:val="20"/>
                <w:szCs w:val="20"/>
                <w:lang w:val="en-GB"/>
              </w:rPr>
              <w:t xml:space="preserve">The Law on Local Self-Governance </w:t>
            </w:r>
            <w:r w:rsidR="00E50B1D" w:rsidRPr="009B39EC">
              <w:rPr>
                <w:rFonts w:ascii="Arial" w:eastAsia="Times New Roman" w:hAnsi="Arial" w:cs="Arial"/>
                <w:sz w:val="20"/>
                <w:szCs w:val="20"/>
                <w:lang w:val="en-GB"/>
              </w:rPr>
              <w:t xml:space="preserve">(2017) </w:t>
            </w:r>
            <w:r w:rsidRPr="009B39EC">
              <w:rPr>
                <w:rFonts w:ascii="Arial" w:eastAsia="Times New Roman" w:hAnsi="Arial" w:cs="Arial"/>
                <w:sz w:val="20"/>
                <w:szCs w:val="20"/>
                <w:lang w:val="en-GB"/>
              </w:rPr>
              <w:t xml:space="preserve">has created the possibility to effectively incorporate GRB </w:t>
            </w:r>
            <w:r w:rsidR="00E16285" w:rsidRPr="009B39EC">
              <w:rPr>
                <w:rFonts w:ascii="Arial" w:eastAsia="Times New Roman" w:hAnsi="Arial" w:cs="Arial"/>
                <w:sz w:val="20"/>
                <w:szCs w:val="20"/>
                <w:lang w:val="en-GB"/>
              </w:rPr>
              <w:t xml:space="preserve">throughout </w:t>
            </w:r>
            <w:r w:rsidRPr="009B39EC">
              <w:rPr>
                <w:rFonts w:ascii="Arial" w:eastAsia="Times New Roman" w:hAnsi="Arial" w:cs="Arial"/>
                <w:sz w:val="20"/>
                <w:szCs w:val="20"/>
                <w:lang w:val="en-GB"/>
              </w:rPr>
              <w:t xml:space="preserve">the </w:t>
            </w:r>
            <w:r w:rsidR="00E16285" w:rsidRPr="009B39EC">
              <w:rPr>
                <w:rFonts w:ascii="Arial" w:eastAsia="Times New Roman" w:hAnsi="Arial" w:cs="Arial"/>
                <w:sz w:val="20"/>
                <w:szCs w:val="20"/>
                <w:lang w:val="en-GB"/>
              </w:rPr>
              <w:t xml:space="preserve">local </w:t>
            </w:r>
            <w:r w:rsidRPr="009B39EC">
              <w:rPr>
                <w:rFonts w:ascii="Arial" w:eastAsia="Times New Roman" w:hAnsi="Arial" w:cs="Arial"/>
                <w:sz w:val="20"/>
                <w:szCs w:val="20"/>
                <w:lang w:val="en-GB"/>
              </w:rPr>
              <w:t xml:space="preserve">financial management </w:t>
            </w:r>
            <w:r w:rsidR="00264A56" w:rsidRPr="009B39EC">
              <w:rPr>
                <w:rFonts w:ascii="Arial" w:eastAsia="Times New Roman" w:hAnsi="Arial" w:cs="Arial"/>
                <w:sz w:val="20"/>
                <w:szCs w:val="20"/>
                <w:lang w:val="en-GB"/>
              </w:rPr>
              <w:t>cycles</w:t>
            </w:r>
            <w:r w:rsidR="00E50B1D" w:rsidRPr="009B39EC">
              <w:rPr>
                <w:rFonts w:ascii="Arial" w:eastAsia="Times New Roman" w:hAnsi="Arial" w:cs="Arial"/>
                <w:sz w:val="20"/>
                <w:szCs w:val="20"/>
                <w:lang w:val="en-GB"/>
              </w:rPr>
              <w:t xml:space="preserve"> (</w:t>
            </w:r>
            <w:r w:rsidRPr="009B39EC">
              <w:rPr>
                <w:rFonts w:ascii="Arial" w:eastAsia="Times New Roman" w:hAnsi="Arial" w:cs="Arial"/>
                <w:sz w:val="20"/>
                <w:szCs w:val="20"/>
                <w:lang w:val="en-GB"/>
              </w:rPr>
              <w:t xml:space="preserve">annual and medium-term budget programming, </w:t>
            </w:r>
            <w:proofErr w:type="gramStart"/>
            <w:r w:rsidRPr="009B39EC">
              <w:rPr>
                <w:rFonts w:ascii="Arial" w:eastAsia="Times New Roman" w:hAnsi="Arial" w:cs="Arial"/>
                <w:sz w:val="20"/>
                <w:szCs w:val="20"/>
                <w:lang w:val="en-GB"/>
              </w:rPr>
              <w:t>monitoring</w:t>
            </w:r>
            <w:proofErr w:type="gramEnd"/>
            <w:r w:rsidRPr="009B39EC">
              <w:rPr>
                <w:rFonts w:ascii="Arial" w:eastAsia="Times New Roman" w:hAnsi="Arial" w:cs="Arial"/>
                <w:sz w:val="20"/>
                <w:szCs w:val="20"/>
                <w:lang w:val="en-GB"/>
              </w:rPr>
              <w:t xml:space="preserve"> and reporting, evaluation and auditing) by the LSGUs</w:t>
            </w:r>
            <w:r w:rsidR="00E50B1D" w:rsidRPr="009B39EC">
              <w:rPr>
                <w:rFonts w:ascii="Arial" w:eastAsia="Times New Roman" w:hAnsi="Arial" w:cs="Arial"/>
                <w:sz w:val="20"/>
                <w:szCs w:val="20"/>
                <w:lang w:val="en-GB"/>
              </w:rPr>
              <w:t xml:space="preserve">. </w:t>
            </w:r>
            <w:r w:rsidR="00924683" w:rsidRPr="009B39EC">
              <w:rPr>
                <w:rFonts w:ascii="Arial" w:hAnsi="Arial" w:cs="Arial"/>
                <w:sz w:val="20"/>
                <w:szCs w:val="20"/>
                <w:lang w:val="en-GB"/>
              </w:rPr>
              <w:t>LSGUs are required by law to address gender inequality issues and demonstrate full respect for gender equality in at least one of the programme policy objectives, by clearly identifying the related gender indicators and outcomes. In their reporting, LGSUs must also mandatorily indicate what percentage of their overall expenditures goes towards supporting policies for the promotion of gender equality</w:t>
            </w:r>
            <w:r w:rsidRPr="009B39EC">
              <w:rPr>
                <w:rFonts w:ascii="Arial" w:hAnsi="Arial" w:cs="Arial"/>
                <w:sz w:val="20"/>
                <w:szCs w:val="20"/>
                <w:lang w:val="en-GB"/>
              </w:rPr>
              <w:t>.</w:t>
            </w:r>
          </w:p>
          <w:p w14:paraId="0DA7D874" w14:textId="1817396F" w:rsidR="00E50B1D" w:rsidRPr="009B39EC" w:rsidRDefault="00445CB5" w:rsidP="00E50B1D">
            <w:pPr>
              <w:spacing w:after="0" w:line="240" w:lineRule="auto"/>
              <w:jc w:val="both"/>
              <w:rPr>
                <w:rFonts w:ascii="Arial" w:eastAsia="Times New Roman" w:hAnsi="Arial" w:cs="Arial"/>
                <w:sz w:val="20"/>
                <w:szCs w:val="20"/>
                <w:lang w:val="en-GB"/>
              </w:rPr>
            </w:pPr>
            <w:r w:rsidRPr="009B39EC">
              <w:rPr>
                <w:rFonts w:ascii="Arial" w:eastAsia="Times New Roman" w:hAnsi="Arial" w:cs="Arial"/>
                <w:sz w:val="20"/>
                <w:szCs w:val="20"/>
                <w:lang w:val="en-GB"/>
              </w:rPr>
              <w:t>In 2020, there were 37 budget programmes at the central level which had effectively incorporated GRB</w:t>
            </w:r>
            <w:r w:rsidR="00E50B1D" w:rsidRPr="009B39EC">
              <w:rPr>
                <w:rFonts w:ascii="Arial" w:eastAsia="Times New Roman" w:hAnsi="Arial" w:cs="Arial"/>
                <w:sz w:val="20"/>
                <w:szCs w:val="20"/>
                <w:lang w:val="en-GB"/>
              </w:rPr>
              <w:t>.</w:t>
            </w:r>
          </w:p>
        </w:tc>
      </w:tr>
      <w:tr w:rsidR="00E50B1D" w:rsidRPr="009B39EC" w14:paraId="706AD111" w14:textId="77777777" w:rsidTr="00D575F2">
        <w:tc>
          <w:tcPr>
            <w:tcW w:w="9558" w:type="dxa"/>
            <w:gridSpan w:val="2"/>
            <w:shd w:val="clear" w:color="auto" w:fill="FBE4D5" w:themeFill="accent2" w:themeFillTint="33"/>
          </w:tcPr>
          <w:p w14:paraId="37CA8C08" w14:textId="175C8855" w:rsidR="00E50B1D" w:rsidRPr="009B39EC" w:rsidRDefault="00127B55" w:rsidP="00C92A65">
            <w:pPr>
              <w:rPr>
                <w:rFonts w:ascii="Arial" w:hAnsi="Arial" w:cs="Arial"/>
                <w:sz w:val="20"/>
                <w:szCs w:val="20"/>
                <w:lang w:val="en-GB"/>
              </w:rPr>
            </w:pPr>
            <w:r w:rsidRPr="009B39EC">
              <w:rPr>
                <w:rFonts w:ascii="Arial" w:hAnsi="Arial" w:cs="Arial"/>
                <w:b/>
                <w:sz w:val="20"/>
                <w:szCs w:val="20"/>
                <w:u w:val="single"/>
                <w:lang w:val="en-GB"/>
              </w:rPr>
              <w:t>Specific objective</w:t>
            </w:r>
            <w:r w:rsidR="00C92A65" w:rsidRPr="009B39EC">
              <w:rPr>
                <w:rFonts w:ascii="Arial" w:hAnsi="Arial" w:cs="Arial"/>
                <w:b/>
                <w:sz w:val="20"/>
                <w:szCs w:val="20"/>
                <w:u w:val="single"/>
                <w:lang w:val="en-GB"/>
              </w:rPr>
              <w:t xml:space="preserve"> </w:t>
            </w:r>
            <w:r w:rsidR="00E50B1D" w:rsidRPr="009B39EC">
              <w:rPr>
                <w:rFonts w:ascii="Arial" w:hAnsi="Arial" w:cs="Arial"/>
                <w:b/>
                <w:sz w:val="20"/>
                <w:szCs w:val="20"/>
                <w:u w:val="single"/>
                <w:lang w:val="en-GB"/>
              </w:rPr>
              <w:t>4.4</w:t>
            </w:r>
            <w:r w:rsidR="007515B1" w:rsidRPr="009B39EC">
              <w:rPr>
                <w:rFonts w:ascii="Arial" w:hAnsi="Arial" w:cs="Arial"/>
                <w:b/>
                <w:sz w:val="20"/>
                <w:szCs w:val="20"/>
                <w:lang w:val="en-GB"/>
              </w:rPr>
              <w:t>:</w:t>
            </w:r>
            <w:r w:rsidR="00E50B1D" w:rsidRPr="009B39EC">
              <w:rPr>
                <w:rFonts w:ascii="Arial" w:hAnsi="Arial" w:cs="Arial"/>
                <w:sz w:val="20"/>
                <w:szCs w:val="20"/>
                <w:lang w:val="en-GB"/>
              </w:rPr>
              <w:t xml:space="preserve"> </w:t>
            </w:r>
            <w:r w:rsidR="00C92A65" w:rsidRPr="009B39EC">
              <w:rPr>
                <w:rFonts w:ascii="Arial" w:hAnsi="Arial" w:cs="Arial"/>
                <w:b/>
                <w:sz w:val="20"/>
                <w:szCs w:val="20"/>
                <w:lang w:val="en-GB"/>
              </w:rPr>
              <w:t>Awareness-raising in the society for the acceptance of gender equality as a prerequisite for development.</w:t>
            </w:r>
            <w:r w:rsidR="00E50B1D" w:rsidRPr="009B39EC">
              <w:rPr>
                <w:rFonts w:ascii="Arial" w:hAnsi="Arial" w:cs="Arial"/>
                <w:b/>
                <w:sz w:val="20"/>
                <w:szCs w:val="20"/>
                <w:lang w:val="en-GB"/>
              </w:rPr>
              <w:t xml:space="preserve">    </w:t>
            </w:r>
          </w:p>
        </w:tc>
      </w:tr>
      <w:tr w:rsidR="00E50B1D" w:rsidRPr="009B39EC" w14:paraId="4A30988A" w14:textId="77777777" w:rsidTr="00D575F2">
        <w:tc>
          <w:tcPr>
            <w:tcW w:w="9558" w:type="dxa"/>
            <w:gridSpan w:val="2"/>
            <w:shd w:val="clear" w:color="auto" w:fill="FBE4D5" w:themeFill="accent2" w:themeFillTint="33"/>
          </w:tcPr>
          <w:p w14:paraId="4CE361ED" w14:textId="2E930DDA" w:rsidR="00E50B1D" w:rsidRPr="009B39EC" w:rsidRDefault="00127B55" w:rsidP="00C92A65">
            <w:pPr>
              <w:rPr>
                <w:rFonts w:ascii="Arial" w:hAnsi="Arial" w:cs="Arial"/>
                <w:sz w:val="20"/>
                <w:szCs w:val="20"/>
                <w:lang w:val="en-GB"/>
              </w:rPr>
            </w:pPr>
            <w:r w:rsidRPr="009B39EC">
              <w:rPr>
                <w:rFonts w:ascii="Arial" w:eastAsia="Times New Roman" w:hAnsi="Arial" w:cs="Arial"/>
                <w:b/>
                <w:iCs/>
                <w:sz w:val="20"/>
                <w:szCs w:val="20"/>
                <w:u w:val="single"/>
                <w:lang w:val="en-GB"/>
              </w:rPr>
              <w:t>Objective indicator</w:t>
            </w:r>
            <w:r w:rsidR="00E50B1D" w:rsidRPr="009B39EC">
              <w:rPr>
                <w:rFonts w:ascii="Arial" w:hAnsi="Arial" w:cs="Arial"/>
                <w:b/>
                <w:sz w:val="20"/>
                <w:szCs w:val="20"/>
                <w:lang w:val="en-GB"/>
              </w:rPr>
              <w:t xml:space="preserve">: </w:t>
            </w:r>
            <w:r w:rsidR="00C92A65" w:rsidRPr="009B39EC">
              <w:rPr>
                <w:rFonts w:ascii="Arial" w:hAnsi="Arial" w:cs="Arial"/>
                <w:b/>
                <w:sz w:val="20"/>
                <w:szCs w:val="20"/>
                <w:lang w:val="en-GB"/>
              </w:rPr>
              <w:t>By the end of 2020, the number of individuals in our society who believe that gender equality is a necessary condition for the development</w:t>
            </w:r>
            <w:r w:rsidR="00E50B1D" w:rsidRPr="009B39EC">
              <w:rPr>
                <w:rFonts w:ascii="Arial" w:hAnsi="Arial" w:cs="Arial"/>
                <w:b/>
                <w:sz w:val="20"/>
                <w:szCs w:val="20"/>
                <w:lang w:val="en-GB"/>
              </w:rPr>
              <w:t xml:space="preserve"> </w:t>
            </w:r>
            <w:r w:rsidR="00C92A65" w:rsidRPr="009B39EC">
              <w:rPr>
                <w:rFonts w:ascii="Arial" w:hAnsi="Arial" w:cs="Arial"/>
                <w:b/>
                <w:sz w:val="20"/>
                <w:szCs w:val="20"/>
                <w:lang w:val="en-GB"/>
              </w:rPr>
              <w:t>of the country shall increase by 30</w:t>
            </w:r>
            <w:r w:rsidR="007515B1" w:rsidRPr="009B39EC">
              <w:rPr>
                <w:rFonts w:ascii="Arial" w:hAnsi="Arial" w:cs="Arial"/>
                <w:b/>
                <w:sz w:val="20"/>
                <w:szCs w:val="20"/>
                <w:lang w:val="en-GB"/>
              </w:rPr>
              <w:t>%</w:t>
            </w:r>
            <w:r w:rsidR="00C92A65" w:rsidRPr="009B39EC">
              <w:rPr>
                <w:rFonts w:ascii="Arial" w:hAnsi="Arial" w:cs="Arial"/>
                <w:b/>
                <w:sz w:val="20"/>
                <w:szCs w:val="20"/>
                <w:lang w:val="en-GB"/>
              </w:rPr>
              <w:t>.</w:t>
            </w:r>
          </w:p>
        </w:tc>
      </w:tr>
      <w:tr w:rsidR="00E50B1D" w:rsidRPr="009B39EC" w14:paraId="4C71BBCC" w14:textId="77777777" w:rsidTr="00D575F2">
        <w:tc>
          <w:tcPr>
            <w:tcW w:w="9558" w:type="dxa"/>
            <w:gridSpan w:val="2"/>
            <w:shd w:val="clear" w:color="auto" w:fill="FBE4D5" w:themeFill="accent2" w:themeFillTint="33"/>
          </w:tcPr>
          <w:p w14:paraId="4558BEFF" w14:textId="4F39BCB7" w:rsidR="00E50B1D" w:rsidRPr="009B39EC" w:rsidRDefault="007515B1" w:rsidP="00E50B1D">
            <w:pPr>
              <w:shd w:val="clear" w:color="auto" w:fill="EDEDED" w:themeFill="accent3" w:themeFillTint="33"/>
              <w:spacing w:after="0" w:line="240" w:lineRule="auto"/>
              <w:jc w:val="both"/>
              <w:rPr>
                <w:rFonts w:ascii="Arial" w:hAnsi="Arial" w:cs="Arial"/>
                <w:b/>
                <w:sz w:val="20"/>
                <w:szCs w:val="20"/>
                <w:u w:val="single"/>
                <w:lang w:val="en-GB"/>
              </w:rPr>
            </w:pPr>
            <w:r w:rsidRPr="009B39EC">
              <w:rPr>
                <w:rFonts w:ascii="Arial" w:hAnsi="Arial" w:cs="Arial"/>
                <w:b/>
                <w:sz w:val="20"/>
                <w:szCs w:val="20"/>
                <w:u w:val="single"/>
                <w:lang w:val="en-GB"/>
              </w:rPr>
              <w:t>Realisation of the objective</w:t>
            </w:r>
            <w:r w:rsidR="00E50B1D" w:rsidRPr="009B39EC">
              <w:rPr>
                <w:rFonts w:ascii="Arial" w:hAnsi="Arial" w:cs="Arial"/>
                <w:b/>
                <w:sz w:val="20"/>
                <w:szCs w:val="20"/>
                <w:lang w:val="en-GB"/>
              </w:rPr>
              <w:t xml:space="preserve">: </w:t>
            </w:r>
            <w:r w:rsidR="006D66D8" w:rsidRPr="009B39EC">
              <w:rPr>
                <w:rFonts w:ascii="Arial" w:hAnsi="Arial" w:cs="Arial"/>
                <w:b/>
                <w:color w:val="ED7D31" w:themeColor="accent2"/>
                <w:sz w:val="20"/>
                <w:szCs w:val="20"/>
                <w:lang w:val="en-GB"/>
              </w:rPr>
              <w:t>PARTIALLY</w:t>
            </w:r>
            <w:r w:rsidR="00A72B1D" w:rsidRPr="009B39EC">
              <w:rPr>
                <w:rFonts w:ascii="Arial" w:hAnsi="Arial" w:cs="Arial"/>
                <w:b/>
                <w:color w:val="ED7D31" w:themeColor="accent2"/>
                <w:sz w:val="20"/>
                <w:szCs w:val="20"/>
                <w:lang w:val="en-GB"/>
              </w:rPr>
              <w:t xml:space="preserve"> REALISED</w:t>
            </w:r>
            <w:r w:rsidR="00E50B1D" w:rsidRPr="009B39EC">
              <w:rPr>
                <w:rFonts w:ascii="Arial" w:hAnsi="Arial" w:cs="Arial"/>
                <w:b/>
                <w:color w:val="ED7D31" w:themeColor="accent2"/>
                <w:sz w:val="20"/>
                <w:szCs w:val="20"/>
                <w:lang w:val="en-GB"/>
              </w:rPr>
              <w:t xml:space="preserve"> (60</w:t>
            </w:r>
            <w:r w:rsidRPr="009B39EC">
              <w:rPr>
                <w:rFonts w:ascii="Arial" w:hAnsi="Arial" w:cs="Arial"/>
                <w:b/>
                <w:color w:val="ED7D31" w:themeColor="accent2"/>
                <w:sz w:val="20"/>
                <w:szCs w:val="20"/>
                <w:lang w:val="en-GB"/>
              </w:rPr>
              <w:t>%</w:t>
            </w:r>
            <w:r w:rsidR="00E50B1D" w:rsidRPr="009B39EC">
              <w:rPr>
                <w:rFonts w:ascii="Arial" w:hAnsi="Arial" w:cs="Arial"/>
                <w:b/>
                <w:color w:val="ED7D31" w:themeColor="accent2"/>
                <w:sz w:val="20"/>
                <w:szCs w:val="20"/>
                <w:lang w:val="en-GB"/>
              </w:rPr>
              <w:t>)</w:t>
            </w:r>
          </w:p>
          <w:p w14:paraId="78A426CF" w14:textId="77777777" w:rsidR="00E50B1D" w:rsidRPr="009B39EC" w:rsidRDefault="00E50B1D" w:rsidP="00E50B1D">
            <w:pPr>
              <w:shd w:val="clear" w:color="auto" w:fill="EDEDED" w:themeFill="accent3" w:themeFillTint="33"/>
              <w:spacing w:after="0" w:line="240" w:lineRule="auto"/>
              <w:jc w:val="both"/>
              <w:rPr>
                <w:rFonts w:ascii="Arial" w:hAnsi="Arial" w:cs="Arial"/>
                <w:b/>
                <w:sz w:val="20"/>
                <w:szCs w:val="20"/>
                <w:u w:val="single"/>
                <w:lang w:val="en-GB"/>
              </w:rPr>
            </w:pPr>
            <w:r w:rsidRPr="009B39EC">
              <w:rPr>
                <w:rFonts w:ascii="Arial" w:hAnsi="Arial" w:cs="Arial"/>
                <w:b/>
                <w:sz w:val="20"/>
                <w:szCs w:val="20"/>
                <w:u w:val="single"/>
                <w:lang w:val="en-GB"/>
              </w:rPr>
              <w:t xml:space="preserve"> </w:t>
            </w:r>
          </w:p>
        </w:tc>
      </w:tr>
      <w:tr w:rsidR="00E50B1D" w:rsidRPr="009B39EC" w14:paraId="75C755A0" w14:textId="77777777" w:rsidTr="00D575F2">
        <w:tc>
          <w:tcPr>
            <w:tcW w:w="2628" w:type="dxa"/>
            <w:shd w:val="clear" w:color="auto" w:fill="FBE4D5" w:themeFill="accent2" w:themeFillTint="33"/>
          </w:tcPr>
          <w:p w14:paraId="423E70D4" w14:textId="2AB697B2" w:rsidR="00E50B1D" w:rsidRPr="009B39EC" w:rsidRDefault="00F9612E"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Outcomes expected to be achieved by </w:t>
            </w:r>
            <w:r w:rsidR="00585418" w:rsidRPr="009B39EC">
              <w:rPr>
                <w:rFonts w:ascii="Arial" w:hAnsi="Arial" w:cs="Arial"/>
                <w:b/>
                <w:sz w:val="20"/>
                <w:szCs w:val="20"/>
                <w:lang w:val="en-GB"/>
              </w:rPr>
              <w:t>2020</w:t>
            </w:r>
          </w:p>
        </w:tc>
        <w:tc>
          <w:tcPr>
            <w:tcW w:w="6930" w:type="dxa"/>
            <w:shd w:val="clear" w:color="auto" w:fill="FBE4D5" w:themeFill="accent2" w:themeFillTint="33"/>
          </w:tcPr>
          <w:p w14:paraId="707B482F" w14:textId="77777777" w:rsidR="00E50B1D" w:rsidRPr="009B39EC" w:rsidRDefault="00E50B1D" w:rsidP="00E50B1D">
            <w:pPr>
              <w:spacing w:after="0" w:line="240" w:lineRule="auto"/>
              <w:jc w:val="center"/>
              <w:rPr>
                <w:rFonts w:ascii="Arial" w:hAnsi="Arial" w:cs="Arial"/>
                <w:b/>
                <w:sz w:val="20"/>
                <w:szCs w:val="20"/>
                <w:lang w:val="en-GB"/>
              </w:rPr>
            </w:pPr>
          </w:p>
          <w:p w14:paraId="448D24BE" w14:textId="6BBD3B5A" w:rsidR="00E50B1D" w:rsidRPr="009B39EC" w:rsidRDefault="00050472" w:rsidP="00E50B1D">
            <w:pPr>
              <w:spacing w:after="0" w:line="240" w:lineRule="auto"/>
              <w:jc w:val="center"/>
              <w:rPr>
                <w:rFonts w:ascii="Arial" w:hAnsi="Arial" w:cs="Arial"/>
                <w:b/>
                <w:sz w:val="20"/>
                <w:szCs w:val="20"/>
                <w:lang w:val="en-GB"/>
              </w:rPr>
            </w:pPr>
            <w:r w:rsidRPr="009B39EC">
              <w:rPr>
                <w:rFonts w:ascii="Arial" w:hAnsi="Arial" w:cs="Arial"/>
                <w:b/>
                <w:sz w:val="20"/>
                <w:szCs w:val="20"/>
                <w:lang w:val="en-GB"/>
              </w:rPr>
              <w:t xml:space="preserve">Situation as at end </w:t>
            </w:r>
            <w:r w:rsidR="0000741E" w:rsidRPr="009B39EC">
              <w:rPr>
                <w:rFonts w:ascii="Arial" w:hAnsi="Arial" w:cs="Arial"/>
                <w:b/>
                <w:sz w:val="20"/>
                <w:szCs w:val="20"/>
                <w:lang w:val="en-GB"/>
              </w:rPr>
              <w:t>2020</w:t>
            </w:r>
          </w:p>
        </w:tc>
      </w:tr>
      <w:tr w:rsidR="00E50B1D" w:rsidRPr="009B39EC" w14:paraId="1905D75C" w14:textId="77777777" w:rsidTr="00491D1F">
        <w:tc>
          <w:tcPr>
            <w:tcW w:w="2628" w:type="dxa"/>
          </w:tcPr>
          <w:p w14:paraId="7B2CDBB3" w14:textId="1D5A1F03" w:rsidR="00E50B1D" w:rsidRPr="009B39EC" w:rsidRDefault="00E50B1D" w:rsidP="00E50B1D">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1. </w:t>
            </w:r>
            <w:r w:rsidR="00C92A65" w:rsidRPr="009B39EC">
              <w:rPr>
                <w:rFonts w:ascii="Arial" w:hAnsi="Arial" w:cs="Arial"/>
                <w:bCs/>
                <w:sz w:val="20"/>
                <w:szCs w:val="20"/>
                <w:lang w:val="en-GB"/>
              </w:rPr>
              <w:t>By the end of 2020, the number of individuals in our society who believe that gender equality is a necessary condition for the development of the country shall increase by 30</w:t>
            </w:r>
            <w:r w:rsidR="007515B1" w:rsidRPr="009B39EC">
              <w:rPr>
                <w:rFonts w:ascii="Arial" w:hAnsi="Arial" w:cs="Arial"/>
                <w:bCs/>
                <w:sz w:val="20"/>
                <w:szCs w:val="20"/>
                <w:lang w:val="en-GB"/>
              </w:rPr>
              <w:t>%</w:t>
            </w:r>
            <w:r w:rsidR="00C92A65" w:rsidRPr="009B39EC">
              <w:rPr>
                <w:rFonts w:ascii="Arial" w:hAnsi="Arial" w:cs="Arial"/>
                <w:bCs/>
                <w:sz w:val="20"/>
                <w:szCs w:val="20"/>
                <w:lang w:val="en-GB"/>
              </w:rPr>
              <w:t>.</w:t>
            </w:r>
          </w:p>
        </w:tc>
        <w:tc>
          <w:tcPr>
            <w:tcW w:w="6930" w:type="dxa"/>
          </w:tcPr>
          <w:p w14:paraId="02F5568B" w14:textId="3CAAF22D" w:rsidR="00E50B1D" w:rsidRPr="009B39EC" w:rsidRDefault="00445CB5" w:rsidP="00E50B1D">
            <w:pPr>
              <w:keepNext/>
              <w:spacing w:after="0" w:line="240" w:lineRule="auto"/>
              <w:jc w:val="both"/>
              <w:rPr>
                <w:rFonts w:ascii="Arial" w:hAnsi="Arial" w:cs="Arial"/>
                <w:sz w:val="20"/>
                <w:szCs w:val="20"/>
                <w:lang w:val="en-GB"/>
              </w:rPr>
            </w:pPr>
            <w:r w:rsidRPr="009B39EC">
              <w:rPr>
                <w:rFonts w:ascii="Arial" w:hAnsi="Arial" w:cs="Arial"/>
                <w:sz w:val="20"/>
                <w:szCs w:val="20"/>
                <w:lang w:val="en-GB"/>
              </w:rPr>
              <w:t>As a result of the constant interventions through information and awareness-raising campaigns, the number of individuals in our society who believe that gender equality is a necessary precondition for the development of the country has increased</w:t>
            </w:r>
            <w:r w:rsidR="00A40CB4" w:rsidRPr="009B39EC">
              <w:rPr>
                <w:rFonts w:ascii="Arial" w:hAnsi="Arial" w:cs="Arial"/>
                <w:sz w:val="20"/>
                <w:szCs w:val="20"/>
                <w:lang w:val="en-GB"/>
              </w:rPr>
              <w:t>;</w:t>
            </w:r>
            <w:r w:rsidRPr="009B39EC">
              <w:rPr>
                <w:rFonts w:ascii="Arial" w:hAnsi="Arial" w:cs="Arial"/>
                <w:sz w:val="20"/>
                <w:szCs w:val="20"/>
                <w:lang w:val="en-GB"/>
              </w:rPr>
              <w:t xml:space="preserve"> however, there is </w:t>
            </w:r>
            <w:proofErr w:type="gramStart"/>
            <w:r w:rsidRPr="009B39EC">
              <w:rPr>
                <w:rFonts w:ascii="Arial" w:hAnsi="Arial" w:cs="Arial"/>
                <w:sz w:val="20"/>
                <w:szCs w:val="20"/>
                <w:lang w:val="en-GB"/>
              </w:rPr>
              <w:t>as yet</w:t>
            </w:r>
            <w:proofErr w:type="gramEnd"/>
            <w:r w:rsidRPr="009B39EC">
              <w:rPr>
                <w:rFonts w:ascii="Arial" w:hAnsi="Arial" w:cs="Arial"/>
                <w:sz w:val="20"/>
                <w:szCs w:val="20"/>
                <w:lang w:val="en-GB"/>
              </w:rPr>
              <w:t xml:space="preserve"> no baseline study or a comparative nation-wide study to determine the percentage by which this number has increased</w:t>
            </w:r>
            <w:r w:rsidR="00E50B1D" w:rsidRPr="009B39EC">
              <w:rPr>
                <w:rFonts w:ascii="Arial" w:hAnsi="Arial" w:cs="Arial"/>
                <w:sz w:val="20"/>
                <w:szCs w:val="20"/>
                <w:lang w:val="en-GB"/>
              </w:rPr>
              <w:t xml:space="preserve">. </w:t>
            </w:r>
          </w:p>
        </w:tc>
      </w:tr>
    </w:tbl>
    <w:p w14:paraId="217A879F" w14:textId="74B1966E" w:rsidR="00614D82" w:rsidRPr="009B39EC" w:rsidRDefault="00614D82" w:rsidP="00E50B1D">
      <w:pPr>
        <w:spacing w:after="0" w:line="240" w:lineRule="auto"/>
        <w:rPr>
          <w:rFonts w:ascii="Arial" w:hAnsi="Arial" w:cs="Arial"/>
          <w:sz w:val="20"/>
          <w:szCs w:val="20"/>
          <w:lang w:val="en-GB"/>
        </w:rPr>
      </w:pPr>
    </w:p>
    <w:p w14:paraId="74E309E3" w14:textId="44FF2E18" w:rsidR="00614D82" w:rsidRPr="009B39EC" w:rsidRDefault="00614D82" w:rsidP="00E50B1D">
      <w:pPr>
        <w:spacing w:after="0" w:line="240" w:lineRule="auto"/>
        <w:rPr>
          <w:rFonts w:ascii="Arial" w:hAnsi="Arial" w:cs="Arial"/>
          <w:sz w:val="20"/>
          <w:szCs w:val="20"/>
          <w:lang w:val="en-GB"/>
        </w:rPr>
      </w:pPr>
    </w:p>
    <w:p w14:paraId="0C982677" w14:textId="44084B3E" w:rsidR="00614D82" w:rsidRPr="009B39EC" w:rsidRDefault="00614D82" w:rsidP="00E50B1D">
      <w:pPr>
        <w:spacing w:after="0" w:line="240" w:lineRule="auto"/>
        <w:rPr>
          <w:rFonts w:ascii="Arial" w:hAnsi="Arial" w:cs="Arial"/>
          <w:sz w:val="20"/>
          <w:szCs w:val="20"/>
          <w:lang w:val="en-GB"/>
        </w:rPr>
      </w:pPr>
    </w:p>
    <w:p w14:paraId="635DD20A" w14:textId="3FDE48EF" w:rsidR="00614D82" w:rsidRPr="009B39EC" w:rsidRDefault="002752F6" w:rsidP="00343D44">
      <w:pPr>
        <w:pStyle w:val="Heading2"/>
        <w:spacing w:before="0" w:after="0"/>
        <w:jc w:val="both"/>
        <w:rPr>
          <w:rFonts w:ascii="Arial" w:hAnsi="Arial" w:cs="Arial"/>
          <w:i w:val="0"/>
          <w:iCs w:val="0"/>
          <w:color w:val="4472C4" w:themeColor="accent1"/>
          <w:sz w:val="20"/>
          <w:szCs w:val="20"/>
          <w:lang w:val="en-GB"/>
        </w:rPr>
      </w:pPr>
      <w:bookmarkStart w:id="6" w:name="_Toc75851660"/>
      <w:r w:rsidRPr="009B39EC">
        <w:rPr>
          <w:rFonts w:ascii="Arial" w:hAnsi="Arial" w:cs="Arial"/>
          <w:i w:val="0"/>
          <w:iCs w:val="0"/>
          <w:color w:val="4472C4" w:themeColor="accent1"/>
          <w:sz w:val="20"/>
          <w:szCs w:val="20"/>
          <w:lang w:val="en-GB"/>
        </w:rPr>
        <w:lastRenderedPageBreak/>
        <w:t>ANNEX</w:t>
      </w:r>
      <w:r w:rsidR="00614D82" w:rsidRPr="009B39EC">
        <w:rPr>
          <w:rFonts w:ascii="Arial" w:hAnsi="Arial" w:cs="Arial"/>
          <w:i w:val="0"/>
          <w:iCs w:val="0"/>
          <w:color w:val="4472C4" w:themeColor="accent1"/>
          <w:sz w:val="20"/>
          <w:szCs w:val="20"/>
          <w:lang w:val="en-GB"/>
        </w:rPr>
        <w:t xml:space="preserve"> 3: </w:t>
      </w:r>
      <w:r w:rsidR="007E17D3" w:rsidRPr="009B39EC">
        <w:rPr>
          <w:rFonts w:ascii="Arial" w:hAnsi="Arial" w:cs="Arial"/>
          <w:i w:val="0"/>
          <w:iCs w:val="0"/>
          <w:color w:val="4472C4" w:themeColor="accent1"/>
          <w:sz w:val="20"/>
          <w:szCs w:val="20"/>
          <w:lang w:val="en-GB"/>
        </w:rPr>
        <w:t xml:space="preserve">DATA </w:t>
      </w:r>
      <w:r w:rsidR="00E16285" w:rsidRPr="009B39EC">
        <w:rPr>
          <w:rFonts w:ascii="Arial" w:hAnsi="Arial" w:cs="Arial"/>
          <w:i w:val="0"/>
          <w:iCs w:val="0"/>
          <w:color w:val="4472C4" w:themeColor="accent1"/>
          <w:sz w:val="20"/>
          <w:szCs w:val="20"/>
          <w:lang w:val="en-GB"/>
        </w:rPr>
        <w:t>FROM</w:t>
      </w:r>
      <w:r w:rsidR="007E17D3" w:rsidRPr="009B39EC">
        <w:rPr>
          <w:rFonts w:ascii="Arial" w:hAnsi="Arial" w:cs="Arial"/>
          <w:i w:val="0"/>
          <w:iCs w:val="0"/>
          <w:color w:val="4472C4" w:themeColor="accent1"/>
          <w:sz w:val="20"/>
          <w:szCs w:val="20"/>
          <w:lang w:val="en-GB"/>
        </w:rPr>
        <w:t xml:space="preserve"> MUNICIPALITIES WHOSE PROJECTS </w:t>
      </w:r>
      <w:r w:rsidR="00924683" w:rsidRPr="009B39EC">
        <w:rPr>
          <w:rFonts w:ascii="Arial" w:hAnsi="Arial" w:cs="Arial"/>
          <w:i w:val="0"/>
          <w:iCs w:val="0"/>
          <w:color w:val="4472C4" w:themeColor="accent1"/>
          <w:sz w:val="20"/>
          <w:szCs w:val="20"/>
          <w:lang w:val="en-GB"/>
        </w:rPr>
        <w:t>ADDRESSING</w:t>
      </w:r>
      <w:r w:rsidR="007E17D3" w:rsidRPr="009B39EC">
        <w:rPr>
          <w:rFonts w:ascii="Arial" w:hAnsi="Arial" w:cs="Arial"/>
          <w:i w:val="0"/>
          <w:iCs w:val="0"/>
          <w:color w:val="4472C4" w:themeColor="accent1"/>
          <w:sz w:val="20"/>
          <w:szCs w:val="20"/>
          <w:lang w:val="en-GB"/>
        </w:rPr>
        <w:t xml:space="preserve"> VIOLENCE AGAINST WOMEN AND DOMESTIC VIOLENCE WERE SUPPORTED BY THE SOCIAL FUND IN THE COURSE OF </w:t>
      </w:r>
      <w:r w:rsidR="001F5F63" w:rsidRPr="009B39EC">
        <w:rPr>
          <w:rFonts w:ascii="Arial" w:hAnsi="Arial" w:cs="Arial"/>
          <w:i w:val="0"/>
          <w:iCs w:val="0"/>
          <w:color w:val="4472C4" w:themeColor="accent1"/>
          <w:sz w:val="20"/>
          <w:szCs w:val="20"/>
          <w:lang w:val="en-GB"/>
        </w:rPr>
        <w:t>2021</w:t>
      </w:r>
      <w:bookmarkEnd w:id="6"/>
      <w:r w:rsidR="001F5F63" w:rsidRPr="009B39EC">
        <w:rPr>
          <w:rFonts w:ascii="Arial" w:hAnsi="Arial" w:cs="Arial"/>
          <w:i w:val="0"/>
          <w:iCs w:val="0"/>
          <w:color w:val="4472C4" w:themeColor="accent1"/>
          <w:sz w:val="20"/>
          <w:szCs w:val="20"/>
          <w:lang w:val="en-GB"/>
        </w:rPr>
        <w:t xml:space="preserve"> </w:t>
      </w:r>
    </w:p>
    <w:p w14:paraId="4226BD91" w14:textId="63432E27" w:rsidR="00343D44" w:rsidRPr="009B39EC" w:rsidRDefault="00343D44" w:rsidP="00E50B1D">
      <w:pPr>
        <w:spacing w:after="0" w:line="240" w:lineRule="auto"/>
        <w:rPr>
          <w:rFonts w:ascii="Arial" w:hAnsi="Arial" w:cs="Arial"/>
          <w:sz w:val="20"/>
          <w:szCs w:val="20"/>
          <w:lang w:val="en-GB"/>
        </w:rPr>
      </w:pPr>
    </w:p>
    <w:p w14:paraId="234E7D24" w14:textId="152381EE" w:rsidR="00343D44" w:rsidRPr="009B39EC" w:rsidRDefault="00343D44" w:rsidP="00E50B1D">
      <w:pPr>
        <w:spacing w:after="0" w:line="240" w:lineRule="auto"/>
        <w:rPr>
          <w:rFonts w:ascii="Arial" w:hAnsi="Arial" w:cs="Arial"/>
          <w:sz w:val="20"/>
          <w:szCs w:val="20"/>
          <w:lang w:val="en-GB"/>
        </w:rPr>
      </w:pPr>
    </w:p>
    <w:tbl>
      <w:tblPr>
        <w:tblStyle w:val="TableGrid"/>
        <w:tblW w:w="9085" w:type="dxa"/>
        <w:tblLook w:val="04A0" w:firstRow="1" w:lastRow="0" w:firstColumn="1" w:lastColumn="0" w:noHBand="0" w:noVBand="1"/>
      </w:tblPr>
      <w:tblGrid>
        <w:gridCol w:w="516"/>
        <w:gridCol w:w="2027"/>
        <w:gridCol w:w="2532"/>
        <w:gridCol w:w="1695"/>
        <w:gridCol w:w="2315"/>
      </w:tblGrid>
      <w:tr w:rsidR="00177911" w:rsidRPr="009B39EC" w14:paraId="33CF2C16" w14:textId="77777777" w:rsidTr="00343D44">
        <w:tc>
          <w:tcPr>
            <w:tcW w:w="505" w:type="dxa"/>
            <w:shd w:val="clear" w:color="auto" w:fill="FBE4D5" w:themeFill="accent2" w:themeFillTint="33"/>
          </w:tcPr>
          <w:p w14:paraId="5A0B97DE" w14:textId="5F09A0C3" w:rsidR="00343D44" w:rsidRPr="009B39EC" w:rsidRDefault="00343D44" w:rsidP="00343D44">
            <w:pPr>
              <w:jc w:val="center"/>
              <w:rPr>
                <w:rFonts w:ascii="Arial" w:hAnsi="Arial" w:cs="Arial"/>
                <w:b/>
                <w:bCs/>
                <w:sz w:val="20"/>
                <w:szCs w:val="20"/>
                <w:lang w:val="en-GB"/>
              </w:rPr>
            </w:pPr>
            <w:r w:rsidRPr="009B39EC">
              <w:rPr>
                <w:rFonts w:ascii="Arial" w:hAnsi="Arial" w:cs="Arial"/>
                <w:b/>
                <w:bCs/>
                <w:sz w:val="20"/>
                <w:szCs w:val="20"/>
                <w:lang w:val="en-GB"/>
              </w:rPr>
              <w:t>N</w:t>
            </w:r>
            <w:r w:rsidR="007E17D3" w:rsidRPr="009B39EC">
              <w:rPr>
                <w:rFonts w:ascii="Arial" w:hAnsi="Arial" w:cs="Arial"/>
                <w:b/>
                <w:bCs/>
                <w:sz w:val="20"/>
                <w:szCs w:val="20"/>
                <w:lang w:val="en-GB"/>
              </w:rPr>
              <w:t>O</w:t>
            </w:r>
          </w:p>
        </w:tc>
        <w:tc>
          <w:tcPr>
            <w:tcW w:w="2100" w:type="dxa"/>
            <w:shd w:val="clear" w:color="auto" w:fill="FBE4D5" w:themeFill="accent2" w:themeFillTint="33"/>
          </w:tcPr>
          <w:p w14:paraId="09CDF54C" w14:textId="232C872C" w:rsidR="00343D44" w:rsidRPr="009B39EC" w:rsidRDefault="007E17D3" w:rsidP="00343D44">
            <w:pPr>
              <w:jc w:val="center"/>
              <w:rPr>
                <w:rFonts w:ascii="Arial" w:hAnsi="Arial" w:cs="Arial"/>
                <w:b/>
                <w:bCs/>
                <w:sz w:val="20"/>
                <w:szCs w:val="20"/>
                <w:lang w:val="en-GB"/>
              </w:rPr>
            </w:pPr>
            <w:r w:rsidRPr="009B39EC">
              <w:rPr>
                <w:rFonts w:ascii="Arial" w:hAnsi="Arial" w:cs="Arial"/>
                <w:b/>
                <w:bCs/>
                <w:sz w:val="20"/>
                <w:szCs w:val="20"/>
                <w:lang w:val="en-GB"/>
              </w:rPr>
              <w:t>MUNICIPALITY</w:t>
            </w:r>
          </w:p>
        </w:tc>
        <w:tc>
          <w:tcPr>
            <w:tcW w:w="2700" w:type="dxa"/>
            <w:shd w:val="clear" w:color="auto" w:fill="FBE4D5" w:themeFill="accent2" w:themeFillTint="33"/>
          </w:tcPr>
          <w:p w14:paraId="3D480953" w14:textId="3324A702" w:rsidR="00343D44" w:rsidRPr="009B39EC" w:rsidRDefault="00343D44" w:rsidP="00343D44">
            <w:pPr>
              <w:jc w:val="center"/>
              <w:rPr>
                <w:rFonts w:ascii="Arial" w:hAnsi="Arial" w:cs="Arial"/>
                <w:b/>
                <w:bCs/>
                <w:sz w:val="20"/>
                <w:szCs w:val="20"/>
                <w:lang w:val="en-GB"/>
              </w:rPr>
            </w:pPr>
            <w:r w:rsidRPr="009B39EC">
              <w:rPr>
                <w:rFonts w:ascii="Arial" w:hAnsi="Arial" w:cs="Arial"/>
                <w:b/>
                <w:bCs/>
                <w:sz w:val="20"/>
                <w:szCs w:val="20"/>
                <w:lang w:val="en-GB"/>
              </w:rPr>
              <w:t>PROJE</w:t>
            </w:r>
            <w:r w:rsidR="007E17D3" w:rsidRPr="009B39EC">
              <w:rPr>
                <w:rFonts w:ascii="Arial" w:hAnsi="Arial" w:cs="Arial"/>
                <w:b/>
                <w:bCs/>
                <w:sz w:val="20"/>
                <w:szCs w:val="20"/>
                <w:lang w:val="en-GB"/>
              </w:rPr>
              <w:t>CT</w:t>
            </w:r>
          </w:p>
        </w:tc>
        <w:tc>
          <w:tcPr>
            <w:tcW w:w="1361" w:type="dxa"/>
            <w:shd w:val="clear" w:color="auto" w:fill="FBE4D5" w:themeFill="accent2" w:themeFillTint="33"/>
          </w:tcPr>
          <w:p w14:paraId="0F9A8F25" w14:textId="6580D48F" w:rsidR="00343D44" w:rsidRPr="009B39EC" w:rsidRDefault="007E17D3" w:rsidP="00343D44">
            <w:pPr>
              <w:jc w:val="center"/>
              <w:rPr>
                <w:rFonts w:ascii="Arial" w:hAnsi="Arial" w:cs="Arial"/>
                <w:b/>
                <w:bCs/>
                <w:sz w:val="20"/>
                <w:szCs w:val="20"/>
                <w:lang w:val="en-GB"/>
              </w:rPr>
            </w:pPr>
            <w:r w:rsidRPr="009B39EC">
              <w:rPr>
                <w:rFonts w:ascii="Arial" w:hAnsi="Arial" w:cs="Arial"/>
                <w:b/>
                <w:bCs/>
                <w:sz w:val="20"/>
                <w:szCs w:val="20"/>
                <w:lang w:val="en-GB"/>
              </w:rPr>
              <w:t>VALUE OF THE FUND</w:t>
            </w:r>
          </w:p>
        </w:tc>
        <w:tc>
          <w:tcPr>
            <w:tcW w:w="2419" w:type="dxa"/>
            <w:shd w:val="clear" w:color="auto" w:fill="FBE4D5" w:themeFill="accent2" w:themeFillTint="33"/>
          </w:tcPr>
          <w:p w14:paraId="377237B0" w14:textId="51AD0C91" w:rsidR="00343D44" w:rsidRPr="009B39EC" w:rsidRDefault="007E17D3" w:rsidP="00343D44">
            <w:pPr>
              <w:jc w:val="center"/>
              <w:rPr>
                <w:rFonts w:ascii="Arial" w:hAnsi="Arial" w:cs="Arial"/>
                <w:b/>
                <w:bCs/>
                <w:sz w:val="20"/>
                <w:szCs w:val="20"/>
                <w:lang w:val="en-GB"/>
              </w:rPr>
            </w:pPr>
            <w:r w:rsidRPr="009B39EC">
              <w:rPr>
                <w:rFonts w:ascii="Arial" w:hAnsi="Arial" w:cs="Arial"/>
                <w:b/>
                <w:bCs/>
                <w:sz w:val="20"/>
                <w:szCs w:val="20"/>
                <w:lang w:val="en-GB"/>
              </w:rPr>
              <w:t>BENEFICIARIES</w:t>
            </w:r>
          </w:p>
        </w:tc>
      </w:tr>
      <w:tr w:rsidR="00177911" w:rsidRPr="009B39EC" w14:paraId="4FECCDE9" w14:textId="77777777" w:rsidTr="00343D44">
        <w:tc>
          <w:tcPr>
            <w:tcW w:w="505" w:type="dxa"/>
          </w:tcPr>
          <w:p w14:paraId="2DDB16F8" w14:textId="23C166FA" w:rsidR="00343D44" w:rsidRPr="009B39EC" w:rsidRDefault="00343D44" w:rsidP="00E50B1D">
            <w:pPr>
              <w:rPr>
                <w:rFonts w:ascii="Arial" w:hAnsi="Arial" w:cs="Arial"/>
                <w:sz w:val="20"/>
                <w:szCs w:val="20"/>
                <w:lang w:val="en-GB"/>
              </w:rPr>
            </w:pPr>
            <w:r w:rsidRPr="009B39EC">
              <w:rPr>
                <w:rFonts w:ascii="Arial" w:hAnsi="Arial" w:cs="Arial"/>
                <w:sz w:val="20"/>
                <w:szCs w:val="20"/>
                <w:lang w:val="en-GB"/>
              </w:rPr>
              <w:t>1</w:t>
            </w:r>
          </w:p>
        </w:tc>
        <w:tc>
          <w:tcPr>
            <w:tcW w:w="2100" w:type="dxa"/>
          </w:tcPr>
          <w:p w14:paraId="490CECCE" w14:textId="475BC46C" w:rsidR="00343D44" w:rsidRPr="009B39EC" w:rsidRDefault="001F5F63" w:rsidP="00E50B1D">
            <w:pPr>
              <w:rPr>
                <w:rFonts w:ascii="Arial" w:hAnsi="Arial" w:cs="Arial"/>
                <w:sz w:val="20"/>
                <w:szCs w:val="20"/>
                <w:lang w:val="en-GB"/>
              </w:rPr>
            </w:pPr>
            <w:r w:rsidRPr="009B39EC">
              <w:rPr>
                <w:rFonts w:ascii="Arial" w:hAnsi="Arial" w:cs="Arial"/>
                <w:sz w:val="20"/>
                <w:szCs w:val="20"/>
                <w:lang w:val="en-GB"/>
              </w:rPr>
              <w:t>Gjirokast</w:t>
            </w:r>
            <w:r w:rsidR="00E16285" w:rsidRPr="009B39EC">
              <w:rPr>
                <w:rFonts w:ascii="Arial" w:hAnsi="Arial" w:cs="Arial"/>
                <w:sz w:val="20"/>
                <w:szCs w:val="20"/>
                <w:lang w:val="en-GB"/>
              </w:rPr>
              <w:t>ra</w:t>
            </w:r>
          </w:p>
        </w:tc>
        <w:tc>
          <w:tcPr>
            <w:tcW w:w="2700" w:type="dxa"/>
          </w:tcPr>
          <w:p w14:paraId="3220E156" w14:textId="7E20C10E" w:rsidR="00343D44" w:rsidRPr="009B39EC" w:rsidRDefault="001F5F63" w:rsidP="00E50B1D">
            <w:pPr>
              <w:rPr>
                <w:rFonts w:ascii="Arial" w:hAnsi="Arial" w:cs="Arial"/>
                <w:sz w:val="20"/>
                <w:szCs w:val="20"/>
                <w:lang w:val="en-GB"/>
              </w:rPr>
            </w:pPr>
            <w:r w:rsidRPr="009B39EC">
              <w:rPr>
                <w:rFonts w:ascii="Arial" w:hAnsi="Arial" w:cs="Arial"/>
                <w:sz w:val="20"/>
                <w:szCs w:val="20"/>
                <w:lang w:val="en-GB"/>
              </w:rPr>
              <w:t>“</w:t>
            </w:r>
            <w:r w:rsidR="00177911" w:rsidRPr="009B39EC">
              <w:rPr>
                <w:rFonts w:ascii="Arial" w:hAnsi="Arial" w:cs="Arial"/>
                <w:sz w:val="20"/>
                <w:szCs w:val="20"/>
                <w:lang w:val="en-GB"/>
              </w:rPr>
              <w:t xml:space="preserve">Provision of services to victims of </w:t>
            </w:r>
            <w:r w:rsidR="00264A56" w:rsidRPr="009B39EC">
              <w:rPr>
                <w:rFonts w:ascii="Arial" w:hAnsi="Arial" w:cs="Arial"/>
                <w:sz w:val="20"/>
                <w:szCs w:val="20"/>
                <w:lang w:val="en-GB"/>
              </w:rPr>
              <w:t>gender-based</w:t>
            </w:r>
            <w:r w:rsidR="00177911" w:rsidRPr="009B39EC">
              <w:rPr>
                <w:rFonts w:ascii="Arial" w:hAnsi="Arial" w:cs="Arial"/>
                <w:sz w:val="20"/>
                <w:szCs w:val="20"/>
                <w:lang w:val="en-GB"/>
              </w:rPr>
              <w:t xml:space="preserve"> violence</w:t>
            </w:r>
            <w:r w:rsidRPr="009B39EC">
              <w:rPr>
                <w:rFonts w:ascii="Arial" w:hAnsi="Arial" w:cs="Arial"/>
                <w:sz w:val="20"/>
                <w:szCs w:val="20"/>
                <w:lang w:val="en-GB"/>
              </w:rPr>
              <w:t>”</w:t>
            </w:r>
            <w:r w:rsidR="00241568" w:rsidRPr="009B39EC">
              <w:rPr>
                <w:rFonts w:ascii="Arial" w:hAnsi="Arial" w:cs="Arial"/>
                <w:sz w:val="20"/>
                <w:szCs w:val="20"/>
                <w:lang w:val="en-GB"/>
              </w:rPr>
              <w:t>.</w:t>
            </w:r>
          </w:p>
          <w:p w14:paraId="43406D83" w14:textId="77777777" w:rsidR="001F5F63" w:rsidRPr="009B39EC" w:rsidRDefault="001F5F63" w:rsidP="00E50B1D">
            <w:pPr>
              <w:rPr>
                <w:rFonts w:ascii="Arial" w:hAnsi="Arial" w:cs="Arial"/>
                <w:sz w:val="20"/>
                <w:szCs w:val="20"/>
                <w:lang w:val="en-GB"/>
              </w:rPr>
            </w:pPr>
          </w:p>
          <w:p w14:paraId="0FE563F8" w14:textId="406B1A3E" w:rsidR="001F5F63" w:rsidRPr="009B39EC" w:rsidRDefault="001F5F63" w:rsidP="00E50B1D">
            <w:pPr>
              <w:rPr>
                <w:rFonts w:ascii="Arial" w:hAnsi="Arial" w:cs="Arial"/>
                <w:sz w:val="20"/>
                <w:szCs w:val="20"/>
                <w:lang w:val="en-GB"/>
              </w:rPr>
            </w:pPr>
            <w:r w:rsidRPr="009B39EC">
              <w:rPr>
                <w:rFonts w:ascii="Arial" w:hAnsi="Arial" w:cs="Arial"/>
                <w:sz w:val="20"/>
                <w:szCs w:val="20"/>
                <w:lang w:val="en-GB"/>
              </w:rPr>
              <w:t>(</w:t>
            </w:r>
            <w:r w:rsidR="00177911" w:rsidRPr="009B39EC">
              <w:rPr>
                <w:rFonts w:ascii="Arial" w:hAnsi="Arial" w:cs="Arial"/>
                <w:sz w:val="20"/>
                <w:szCs w:val="20"/>
                <w:lang w:val="en-GB"/>
              </w:rPr>
              <w:t>Second year of implementation</w:t>
            </w:r>
            <w:r w:rsidRPr="009B39EC">
              <w:rPr>
                <w:rFonts w:ascii="Arial" w:hAnsi="Arial" w:cs="Arial"/>
                <w:sz w:val="20"/>
                <w:szCs w:val="20"/>
                <w:lang w:val="en-GB"/>
              </w:rPr>
              <w:t>)</w:t>
            </w:r>
          </w:p>
        </w:tc>
        <w:tc>
          <w:tcPr>
            <w:tcW w:w="1361" w:type="dxa"/>
          </w:tcPr>
          <w:p w14:paraId="45C7B933" w14:textId="77777777" w:rsidR="008D793A" w:rsidRPr="009B39EC" w:rsidRDefault="008D793A" w:rsidP="00E50B1D">
            <w:pPr>
              <w:rPr>
                <w:rFonts w:ascii="Arial" w:hAnsi="Arial" w:cs="Arial"/>
                <w:sz w:val="20"/>
                <w:szCs w:val="20"/>
                <w:lang w:val="en-GB" w:eastAsia="en-GB"/>
              </w:rPr>
            </w:pPr>
            <w:r w:rsidRPr="009B39EC">
              <w:rPr>
                <w:rFonts w:ascii="Arial" w:hAnsi="Arial" w:cs="Arial"/>
                <w:sz w:val="20"/>
                <w:szCs w:val="20"/>
                <w:lang w:val="en-GB" w:eastAsia="en-GB"/>
              </w:rPr>
              <w:t>For 2020 it has been financed in the amount of 6,400,138 ALL (in the first year of implementation).</w:t>
            </w:r>
          </w:p>
          <w:p w14:paraId="3B106A0F" w14:textId="77777777" w:rsidR="008D793A" w:rsidRPr="009B39EC" w:rsidRDefault="008D793A" w:rsidP="00E50B1D">
            <w:pPr>
              <w:rPr>
                <w:rFonts w:ascii="Arial" w:hAnsi="Arial" w:cs="Arial"/>
                <w:sz w:val="20"/>
                <w:szCs w:val="20"/>
                <w:lang w:val="en-GB" w:eastAsia="en-GB"/>
              </w:rPr>
            </w:pPr>
          </w:p>
          <w:p w14:paraId="6E38DF5B" w14:textId="00EDA6EB" w:rsidR="00343D44" w:rsidRPr="009B39EC" w:rsidRDefault="001F5F63" w:rsidP="00E50B1D">
            <w:pPr>
              <w:rPr>
                <w:rFonts w:ascii="Arial" w:hAnsi="Arial" w:cs="Arial"/>
                <w:sz w:val="20"/>
                <w:szCs w:val="20"/>
                <w:lang w:val="en-GB"/>
              </w:rPr>
            </w:pPr>
            <w:r w:rsidRPr="009B39EC">
              <w:rPr>
                <w:rFonts w:ascii="Arial" w:hAnsi="Arial" w:cs="Arial"/>
                <w:sz w:val="20"/>
                <w:szCs w:val="20"/>
                <w:lang w:val="en-GB" w:eastAsia="en-GB"/>
              </w:rPr>
              <w:t xml:space="preserve">4,120,396 </w:t>
            </w:r>
            <w:r w:rsidR="002752F6" w:rsidRPr="009B39EC">
              <w:rPr>
                <w:rFonts w:ascii="Arial" w:hAnsi="Arial" w:cs="Arial"/>
                <w:sz w:val="20"/>
                <w:szCs w:val="20"/>
                <w:lang w:val="en-GB" w:eastAsia="en-GB"/>
              </w:rPr>
              <w:t>ALL</w:t>
            </w:r>
            <w:r w:rsidRPr="009B39EC">
              <w:rPr>
                <w:rFonts w:ascii="Arial" w:hAnsi="Arial" w:cs="Arial"/>
                <w:sz w:val="20"/>
                <w:szCs w:val="20"/>
                <w:lang w:val="en-GB" w:eastAsia="en-GB"/>
              </w:rPr>
              <w:t xml:space="preserve"> </w:t>
            </w:r>
            <w:r w:rsidR="00850A6E" w:rsidRPr="009B39EC">
              <w:rPr>
                <w:rFonts w:ascii="Arial" w:hAnsi="Arial" w:cs="Arial"/>
                <w:sz w:val="20"/>
                <w:szCs w:val="20"/>
                <w:lang w:val="en-GB" w:eastAsia="en-GB"/>
              </w:rPr>
              <w:t xml:space="preserve">(about </w:t>
            </w:r>
            <w:r w:rsidRPr="009B39EC">
              <w:rPr>
                <w:rFonts w:ascii="Arial" w:hAnsi="Arial" w:cs="Arial"/>
                <w:sz w:val="20"/>
                <w:szCs w:val="20"/>
                <w:lang w:val="en-GB" w:eastAsia="en-GB"/>
              </w:rPr>
              <w:t xml:space="preserve">34 </w:t>
            </w:r>
            <w:r w:rsidR="00850A6E" w:rsidRPr="009B39EC">
              <w:rPr>
                <w:rFonts w:ascii="Arial" w:hAnsi="Arial" w:cs="Arial"/>
                <w:sz w:val="20"/>
                <w:szCs w:val="20"/>
                <w:lang w:val="en-GB" w:eastAsia="en-GB"/>
              </w:rPr>
              <w:t>thousand Euro</w:t>
            </w:r>
            <w:r w:rsidRPr="009B39EC">
              <w:rPr>
                <w:rFonts w:ascii="Arial" w:hAnsi="Arial" w:cs="Arial"/>
                <w:sz w:val="20"/>
                <w:szCs w:val="20"/>
                <w:lang w:val="en-GB" w:eastAsia="en-GB"/>
              </w:rPr>
              <w:t xml:space="preserve">) </w:t>
            </w:r>
            <w:r w:rsidR="00850A6E" w:rsidRPr="009B39EC">
              <w:rPr>
                <w:rFonts w:ascii="Arial" w:hAnsi="Arial" w:cs="Arial"/>
                <w:sz w:val="20"/>
                <w:szCs w:val="20"/>
                <w:lang w:val="en-GB" w:eastAsia="en-GB"/>
              </w:rPr>
              <w:t>in 20</w:t>
            </w:r>
            <w:r w:rsidRPr="009B39EC">
              <w:rPr>
                <w:rFonts w:ascii="Arial" w:hAnsi="Arial" w:cs="Arial"/>
                <w:sz w:val="20"/>
                <w:szCs w:val="20"/>
                <w:lang w:val="en-GB" w:eastAsia="en-GB"/>
              </w:rPr>
              <w:t>21.</w:t>
            </w:r>
          </w:p>
        </w:tc>
        <w:tc>
          <w:tcPr>
            <w:tcW w:w="2419" w:type="dxa"/>
          </w:tcPr>
          <w:p w14:paraId="6C2B2E88" w14:textId="77777777" w:rsidR="008D793A" w:rsidRPr="009B39EC" w:rsidRDefault="008D793A" w:rsidP="008D793A">
            <w:pPr>
              <w:rPr>
                <w:rFonts w:ascii="Arial" w:hAnsi="Arial" w:cs="Arial"/>
                <w:sz w:val="20"/>
                <w:szCs w:val="20"/>
                <w:lang w:val="en-GB"/>
              </w:rPr>
            </w:pPr>
            <w:r w:rsidRPr="009B39EC">
              <w:rPr>
                <w:rFonts w:ascii="Arial" w:hAnsi="Arial" w:cs="Arial"/>
                <w:sz w:val="20"/>
                <w:szCs w:val="20"/>
                <w:lang w:val="en-GB"/>
              </w:rPr>
              <w:t xml:space="preserve">During 2020, this </w:t>
            </w:r>
            <w:proofErr w:type="spellStart"/>
            <w:r w:rsidRPr="009B39EC">
              <w:rPr>
                <w:rFonts w:ascii="Arial" w:hAnsi="Arial" w:cs="Arial"/>
                <w:sz w:val="20"/>
                <w:szCs w:val="20"/>
                <w:lang w:val="en-GB"/>
              </w:rPr>
              <w:t>center</w:t>
            </w:r>
            <w:proofErr w:type="spellEnd"/>
            <w:r w:rsidRPr="009B39EC">
              <w:rPr>
                <w:rFonts w:ascii="Arial" w:hAnsi="Arial" w:cs="Arial"/>
                <w:sz w:val="20"/>
                <w:szCs w:val="20"/>
                <w:lang w:val="en-GB"/>
              </w:rPr>
              <w:t xml:space="preserve"> has treated:</w:t>
            </w:r>
          </w:p>
          <w:p w14:paraId="4FA4F717" w14:textId="68F45008" w:rsidR="008D793A" w:rsidRPr="009B39EC" w:rsidRDefault="008D793A" w:rsidP="008D793A">
            <w:pPr>
              <w:rPr>
                <w:rFonts w:ascii="Arial" w:hAnsi="Arial" w:cs="Arial"/>
                <w:sz w:val="20"/>
                <w:szCs w:val="20"/>
                <w:lang w:val="en-GB"/>
              </w:rPr>
            </w:pPr>
            <w:r w:rsidRPr="009B39EC">
              <w:rPr>
                <w:rFonts w:ascii="Arial" w:hAnsi="Arial" w:cs="Arial"/>
                <w:sz w:val="20"/>
                <w:szCs w:val="20"/>
                <w:lang w:val="en-GB"/>
              </w:rPr>
              <w:t>- 40 unaccompanied children (from foreign countries</w:t>
            </w:r>
            <w:proofErr w:type="gramStart"/>
            <w:r w:rsidRPr="009B39EC">
              <w:rPr>
                <w:rFonts w:ascii="Arial" w:hAnsi="Arial" w:cs="Arial"/>
                <w:sz w:val="20"/>
                <w:szCs w:val="20"/>
                <w:lang w:val="en-GB"/>
              </w:rPr>
              <w:t>);</w:t>
            </w:r>
            <w:proofErr w:type="gramEnd"/>
          </w:p>
          <w:p w14:paraId="06A8058D" w14:textId="22F0F43C" w:rsidR="008D793A" w:rsidRPr="009B39EC" w:rsidRDefault="008D793A" w:rsidP="008D793A">
            <w:pPr>
              <w:rPr>
                <w:rFonts w:ascii="Arial" w:hAnsi="Arial" w:cs="Arial"/>
                <w:sz w:val="20"/>
                <w:szCs w:val="20"/>
                <w:lang w:val="en-GB"/>
              </w:rPr>
            </w:pPr>
            <w:r w:rsidRPr="009B39EC">
              <w:rPr>
                <w:rFonts w:ascii="Arial" w:hAnsi="Arial" w:cs="Arial"/>
                <w:sz w:val="20"/>
                <w:szCs w:val="20"/>
                <w:lang w:val="en-GB"/>
              </w:rPr>
              <w:t>- 40 adult (women</w:t>
            </w:r>
            <w:proofErr w:type="gramStart"/>
            <w:r w:rsidRPr="009B39EC">
              <w:rPr>
                <w:rFonts w:ascii="Arial" w:hAnsi="Arial" w:cs="Arial"/>
                <w:sz w:val="20"/>
                <w:szCs w:val="20"/>
                <w:lang w:val="en-GB"/>
              </w:rPr>
              <w:t>);</w:t>
            </w:r>
            <w:proofErr w:type="gramEnd"/>
          </w:p>
          <w:p w14:paraId="76E99DAE" w14:textId="77777777" w:rsidR="008D793A" w:rsidRPr="009B39EC" w:rsidRDefault="008D793A" w:rsidP="008D793A">
            <w:pPr>
              <w:rPr>
                <w:rFonts w:ascii="Arial" w:hAnsi="Arial" w:cs="Arial"/>
                <w:sz w:val="20"/>
                <w:szCs w:val="20"/>
                <w:lang w:val="en-GB"/>
              </w:rPr>
            </w:pPr>
            <w:r w:rsidRPr="009B39EC">
              <w:rPr>
                <w:rFonts w:ascii="Arial" w:hAnsi="Arial" w:cs="Arial"/>
                <w:sz w:val="20"/>
                <w:szCs w:val="20"/>
                <w:lang w:val="en-GB"/>
              </w:rPr>
              <w:t xml:space="preserve">- 3 children aged 7-11 </w:t>
            </w:r>
            <w:proofErr w:type="gramStart"/>
            <w:r w:rsidRPr="009B39EC">
              <w:rPr>
                <w:rFonts w:ascii="Arial" w:hAnsi="Arial" w:cs="Arial"/>
                <w:sz w:val="20"/>
                <w:szCs w:val="20"/>
                <w:lang w:val="en-GB"/>
              </w:rPr>
              <w:t>years;</w:t>
            </w:r>
            <w:proofErr w:type="gramEnd"/>
          </w:p>
          <w:p w14:paraId="16DDA417" w14:textId="247A338B" w:rsidR="00343D44" w:rsidRPr="009B39EC" w:rsidRDefault="008D793A" w:rsidP="008D793A">
            <w:pPr>
              <w:rPr>
                <w:rFonts w:ascii="Arial" w:hAnsi="Arial" w:cs="Arial"/>
                <w:sz w:val="20"/>
                <w:szCs w:val="20"/>
                <w:lang w:val="en-GB"/>
              </w:rPr>
            </w:pPr>
            <w:r w:rsidRPr="009B39EC">
              <w:rPr>
                <w:rFonts w:ascii="Arial" w:hAnsi="Arial" w:cs="Arial"/>
                <w:sz w:val="20"/>
                <w:szCs w:val="20"/>
                <w:lang w:val="en-GB"/>
              </w:rPr>
              <w:t>- 25 families with food packages</w:t>
            </w:r>
          </w:p>
        </w:tc>
      </w:tr>
      <w:tr w:rsidR="00177911" w:rsidRPr="009B39EC" w14:paraId="7253474F" w14:textId="77777777" w:rsidTr="00343D44">
        <w:tc>
          <w:tcPr>
            <w:tcW w:w="505" w:type="dxa"/>
          </w:tcPr>
          <w:p w14:paraId="4AA44F64" w14:textId="4D984D80" w:rsidR="00343D44" w:rsidRPr="009B39EC" w:rsidRDefault="00343D44" w:rsidP="00E50B1D">
            <w:pPr>
              <w:rPr>
                <w:rFonts w:ascii="Arial" w:hAnsi="Arial" w:cs="Arial"/>
                <w:sz w:val="20"/>
                <w:szCs w:val="20"/>
                <w:lang w:val="en-GB"/>
              </w:rPr>
            </w:pPr>
            <w:r w:rsidRPr="009B39EC">
              <w:rPr>
                <w:rFonts w:ascii="Arial" w:hAnsi="Arial" w:cs="Arial"/>
                <w:sz w:val="20"/>
                <w:szCs w:val="20"/>
                <w:lang w:val="en-GB"/>
              </w:rPr>
              <w:t>2</w:t>
            </w:r>
          </w:p>
        </w:tc>
        <w:tc>
          <w:tcPr>
            <w:tcW w:w="2100" w:type="dxa"/>
          </w:tcPr>
          <w:p w14:paraId="1C8690D0" w14:textId="70871985" w:rsidR="00343D44" w:rsidRPr="009B39EC" w:rsidRDefault="001F5F63" w:rsidP="00E50B1D">
            <w:pPr>
              <w:rPr>
                <w:rFonts w:ascii="Arial" w:hAnsi="Arial" w:cs="Arial"/>
                <w:sz w:val="20"/>
                <w:szCs w:val="20"/>
                <w:lang w:val="en-GB"/>
              </w:rPr>
            </w:pPr>
            <w:r w:rsidRPr="009B39EC">
              <w:rPr>
                <w:rFonts w:ascii="Arial" w:hAnsi="Arial" w:cs="Arial"/>
                <w:sz w:val="20"/>
                <w:szCs w:val="20"/>
                <w:lang w:val="en-GB"/>
              </w:rPr>
              <w:t>Berat</w:t>
            </w:r>
          </w:p>
        </w:tc>
        <w:tc>
          <w:tcPr>
            <w:tcW w:w="2700" w:type="dxa"/>
          </w:tcPr>
          <w:p w14:paraId="716E3B19" w14:textId="254E6906" w:rsidR="00343D44" w:rsidRPr="009B39EC" w:rsidRDefault="001F5F63" w:rsidP="00E50B1D">
            <w:pPr>
              <w:rPr>
                <w:rFonts w:ascii="Arial" w:hAnsi="Arial" w:cs="Arial"/>
                <w:sz w:val="20"/>
                <w:szCs w:val="20"/>
                <w:lang w:val="en-GB"/>
              </w:rPr>
            </w:pPr>
            <w:r w:rsidRPr="009B39EC">
              <w:rPr>
                <w:rFonts w:ascii="Arial" w:hAnsi="Arial" w:cs="Arial"/>
                <w:sz w:val="20"/>
                <w:szCs w:val="20"/>
                <w:lang w:val="en-GB"/>
              </w:rPr>
              <w:t>Rehabilit</w:t>
            </w:r>
            <w:r w:rsidR="00177911" w:rsidRPr="009B39EC">
              <w:rPr>
                <w:rFonts w:ascii="Arial" w:hAnsi="Arial" w:cs="Arial"/>
                <w:sz w:val="20"/>
                <w:szCs w:val="20"/>
                <w:lang w:val="en-GB"/>
              </w:rPr>
              <w:t>ation and establishment of the Strehëza Centre</w:t>
            </w:r>
            <w:r w:rsidR="00241568" w:rsidRPr="009B39EC">
              <w:rPr>
                <w:rFonts w:ascii="Arial" w:hAnsi="Arial" w:cs="Arial"/>
                <w:sz w:val="20"/>
                <w:szCs w:val="20"/>
                <w:lang w:val="en-GB"/>
              </w:rPr>
              <w:t>.</w:t>
            </w:r>
          </w:p>
        </w:tc>
        <w:tc>
          <w:tcPr>
            <w:tcW w:w="1361" w:type="dxa"/>
          </w:tcPr>
          <w:p w14:paraId="2CDE2F7C" w14:textId="7E6E5140" w:rsidR="00343D44" w:rsidRPr="009B39EC" w:rsidRDefault="001F5F63" w:rsidP="00E50B1D">
            <w:pPr>
              <w:rPr>
                <w:rFonts w:ascii="Arial" w:hAnsi="Arial" w:cs="Arial"/>
                <w:sz w:val="20"/>
                <w:szCs w:val="20"/>
                <w:lang w:val="en-GB"/>
              </w:rPr>
            </w:pPr>
            <w:r w:rsidRPr="009B39EC">
              <w:rPr>
                <w:rFonts w:ascii="Arial" w:hAnsi="Arial" w:cs="Arial"/>
                <w:sz w:val="20"/>
                <w:szCs w:val="20"/>
                <w:lang w:val="en-GB"/>
              </w:rPr>
              <w:t xml:space="preserve">3,087,000 </w:t>
            </w:r>
            <w:r w:rsidR="002752F6" w:rsidRPr="009B39EC">
              <w:rPr>
                <w:rFonts w:ascii="Arial" w:hAnsi="Arial" w:cs="Arial"/>
                <w:sz w:val="20"/>
                <w:szCs w:val="20"/>
                <w:lang w:val="en-GB"/>
              </w:rPr>
              <w:t>ALL</w:t>
            </w:r>
            <w:r w:rsidRPr="009B39EC">
              <w:rPr>
                <w:rFonts w:ascii="Arial" w:hAnsi="Arial" w:cs="Arial"/>
                <w:sz w:val="20"/>
                <w:szCs w:val="20"/>
                <w:lang w:val="en-GB"/>
              </w:rPr>
              <w:t xml:space="preserve"> </w:t>
            </w:r>
            <w:r w:rsidR="00850A6E" w:rsidRPr="009B39EC">
              <w:rPr>
                <w:rFonts w:ascii="Arial" w:hAnsi="Arial" w:cs="Arial"/>
                <w:sz w:val="20"/>
                <w:szCs w:val="20"/>
                <w:lang w:val="en-GB"/>
              </w:rPr>
              <w:t xml:space="preserve">(about </w:t>
            </w:r>
            <w:r w:rsidRPr="009B39EC">
              <w:rPr>
                <w:rFonts w:ascii="Arial" w:hAnsi="Arial" w:cs="Arial"/>
                <w:sz w:val="20"/>
                <w:szCs w:val="20"/>
                <w:lang w:val="en-GB"/>
              </w:rPr>
              <w:t xml:space="preserve">26 </w:t>
            </w:r>
            <w:r w:rsidR="00850A6E" w:rsidRPr="009B39EC">
              <w:rPr>
                <w:rFonts w:ascii="Arial" w:hAnsi="Arial" w:cs="Arial"/>
                <w:sz w:val="20"/>
                <w:szCs w:val="20"/>
                <w:lang w:val="en-GB"/>
              </w:rPr>
              <w:t>thousand Euro</w:t>
            </w:r>
            <w:r w:rsidRPr="009B39EC">
              <w:rPr>
                <w:rFonts w:ascii="Arial" w:hAnsi="Arial" w:cs="Arial"/>
                <w:sz w:val="20"/>
                <w:szCs w:val="20"/>
                <w:lang w:val="en-GB"/>
              </w:rPr>
              <w:t xml:space="preserve">) </w:t>
            </w:r>
            <w:r w:rsidR="00850A6E" w:rsidRPr="009B39EC">
              <w:rPr>
                <w:rFonts w:ascii="Arial" w:hAnsi="Arial" w:cs="Arial"/>
                <w:sz w:val="20"/>
                <w:szCs w:val="20"/>
                <w:lang w:val="en-GB"/>
              </w:rPr>
              <w:t>in 20</w:t>
            </w:r>
            <w:r w:rsidRPr="009B39EC">
              <w:rPr>
                <w:rFonts w:ascii="Arial" w:hAnsi="Arial" w:cs="Arial"/>
                <w:sz w:val="20"/>
                <w:szCs w:val="20"/>
                <w:lang w:val="en-GB"/>
              </w:rPr>
              <w:t>21</w:t>
            </w:r>
          </w:p>
        </w:tc>
        <w:tc>
          <w:tcPr>
            <w:tcW w:w="2419" w:type="dxa"/>
          </w:tcPr>
          <w:p w14:paraId="62D07632" w14:textId="48545E5A" w:rsidR="00343D44" w:rsidRPr="009B39EC" w:rsidRDefault="001F5F63" w:rsidP="00E50B1D">
            <w:pPr>
              <w:rPr>
                <w:rFonts w:ascii="Arial" w:hAnsi="Arial" w:cs="Arial"/>
                <w:sz w:val="20"/>
                <w:szCs w:val="20"/>
                <w:lang w:val="en-GB"/>
              </w:rPr>
            </w:pPr>
            <w:r w:rsidRPr="009B39EC">
              <w:rPr>
                <w:rFonts w:ascii="Arial" w:hAnsi="Arial" w:cs="Arial"/>
                <w:sz w:val="20"/>
                <w:szCs w:val="20"/>
                <w:lang w:val="en-GB"/>
              </w:rPr>
              <w:t>50 vi</w:t>
            </w:r>
            <w:r w:rsidR="00177911" w:rsidRPr="009B39EC">
              <w:rPr>
                <w:rFonts w:ascii="Arial" w:hAnsi="Arial" w:cs="Arial"/>
                <w:sz w:val="20"/>
                <w:szCs w:val="20"/>
                <w:lang w:val="en-GB"/>
              </w:rPr>
              <w:t>ctims of domestic violence</w:t>
            </w:r>
            <w:r w:rsidRPr="009B39EC">
              <w:rPr>
                <w:rFonts w:ascii="Arial" w:hAnsi="Arial" w:cs="Arial"/>
                <w:sz w:val="20"/>
                <w:szCs w:val="20"/>
                <w:lang w:val="en-GB"/>
              </w:rPr>
              <w:t xml:space="preserve">; 15 </w:t>
            </w:r>
            <w:r w:rsidR="00177911" w:rsidRPr="009B39EC">
              <w:rPr>
                <w:rFonts w:ascii="Arial" w:hAnsi="Arial" w:cs="Arial"/>
                <w:sz w:val="20"/>
                <w:szCs w:val="20"/>
                <w:lang w:val="en-GB"/>
              </w:rPr>
              <w:t>children of victims of domestic violence</w:t>
            </w:r>
            <w:r w:rsidRPr="009B39EC">
              <w:rPr>
                <w:rFonts w:ascii="Arial" w:hAnsi="Arial" w:cs="Arial"/>
                <w:sz w:val="20"/>
                <w:szCs w:val="20"/>
                <w:lang w:val="en-GB"/>
              </w:rPr>
              <w:t xml:space="preserve">; 40 </w:t>
            </w:r>
            <w:r w:rsidR="00177911" w:rsidRPr="009B39EC">
              <w:rPr>
                <w:rFonts w:ascii="Arial" w:hAnsi="Arial" w:cs="Arial"/>
                <w:sz w:val="20"/>
                <w:szCs w:val="20"/>
                <w:lang w:val="en-GB"/>
              </w:rPr>
              <w:t>children with social and financial problems</w:t>
            </w:r>
            <w:r w:rsidRPr="009B39EC">
              <w:rPr>
                <w:rFonts w:ascii="Arial" w:hAnsi="Arial" w:cs="Arial"/>
                <w:sz w:val="20"/>
                <w:szCs w:val="20"/>
                <w:lang w:val="en-GB"/>
              </w:rPr>
              <w:t>.</w:t>
            </w:r>
          </w:p>
        </w:tc>
      </w:tr>
      <w:tr w:rsidR="00177911" w:rsidRPr="009B39EC" w14:paraId="65FFA998" w14:textId="77777777" w:rsidTr="00343D44">
        <w:tc>
          <w:tcPr>
            <w:tcW w:w="505" w:type="dxa"/>
          </w:tcPr>
          <w:p w14:paraId="7FE39828" w14:textId="66E208AE" w:rsidR="00343D44" w:rsidRPr="009B39EC" w:rsidRDefault="00343D44" w:rsidP="00E50B1D">
            <w:pPr>
              <w:rPr>
                <w:rFonts w:ascii="Arial" w:hAnsi="Arial" w:cs="Arial"/>
                <w:sz w:val="20"/>
                <w:szCs w:val="20"/>
                <w:lang w:val="en-GB"/>
              </w:rPr>
            </w:pPr>
            <w:r w:rsidRPr="009B39EC">
              <w:rPr>
                <w:rFonts w:ascii="Arial" w:hAnsi="Arial" w:cs="Arial"/>
                <w:sz w:val="20"/>
                <w:szCs w:val="20"/>
                <w:lang w:val="en-GB"/>
              </w:rPr>
              <w:t>3</w:t>
            </w:r>
          </w:p>
        </w:tc>
        <w:tc>
          <w:tcPr>
            <w:tcW w:w="2100" w:type="dxa"/>
          </w:tcPr>
          <w:p w14:paraId="59513D7A" w14:textId="5920F114" w:rsidR="00343D44" w:rsidRPr="009B39EC" w:rsidRDefault="001F5F63" w:rsidP="00E50B1D">
            <w:pPr>
              <w:rPr>
                <w:rFonts w:ascii="Arial" w:hAnsi="Arial" w:cs="Arial"/>
                <w:sz w:val="20"/>
                <w:szCs w:val="20"/>
                <w:lang w:val="en-GB"/>
              </w:rPr>
            </w:pPr>
            <w:r w:rsidRPr="009B39EC">
              <w:rPr>
                <w:rFonts w:ascii="Arial" w:hAnsi="Arial" w:cs="Arial"/>
                <w:sz w:val="20"/>
                <w:szCs w:val="20"/>
                <w:lang w:val="en-GB" w:eastAsia="en-GB"/>
              </w:rPr>
              <w:t>Kukës</w:t>
            </w:r>
          </w:p>
        </w:tc>
        <w:tc>
          <w:tcPr>
            <w:tcW w:w="2700" w:type="dxa"/>
          </w:tcPr>
          <w:p w14:paraId="1CB05068" w14:textId="3EC26709" w:rsidR="00343D44" w:rsidRPr="009B39EC" w:rsidRDefault="00177911" w:rsidP="00E50B1D">
            <w:pPr>
              <w:rPr>
                <w:rFonts w:ascii="Arial" w:hAnsi="Arial" w:cs="Arial"/>
                <w:sz w:val="20"/>
                <w:szCs w:val="20"/>
                <w:lang w:val="en-GB"/>
              </w:rPr>
            </w:pPr>
            <w:r w:rsidRPr="009B39EC">
              <w:rPr>
                <w:rFonts w:ascii="Arial" w:hAnsi="Arial" w:cs="Arial"/>
                <w:sz w:val="20"/>
                <w:szCs w:val="20"/>
                <w:lang w:val="en-GB"/>
              </w:rPr>
              <w:t>Establishment and running of the emergency centre for abused women and girls living in rural areas</w:t>
            </w:r>
            <w:r w:rsidR="00241568" w:rsidRPr="009B39EC">
              <w:rPr>
                <w:rFonts w:ascii="Arial" w:hAnsi="Arial" w:cs="Arial"/>
                <w:sz w:val="20"/>
                <w:szCs w:val="20"/>
                <w:lang w:val="en-GB"/>
              </w:rPr>
              <w:t>.</w:t>
            </w:r>
          </w:p>
        </w:tc>
        <w:tc>
          <w:tcPr>
            <w:tcW w:w="1361" w:type="dxa"/>
          </w:tcPr>
          <w:p w14:paraId="33096C84" w14:textId="6D4C6FCF" w:rsidR="00343D44" w:rsidRPr="009B39EC" w:rsidRDefault="00241568" w:rsidP="00E50B1D">
            <w:pPr>
              <w:rPr>
                <w:rFonts w:ascii="Arial" w:hAnsi="Arial" w:cs="Arial"/>
                <w:sz w:val="20"/>
                <w:szCs w:val="20"/>
                <w:lang w:val="en-GB"/>
              </w:rPr>
            </w:pPr>
            <w:r w:rsidRPr="009B39EC">
              <w:rPr>
                <w:rFonts w:ascii="Arial" w:hAnsi="Arial" w:cs="Arial"/>
                <w:sz w:val="20"/>
                <w:szCs w:val="20"/>
                <w:lang w:val="en-GB"/>
              </w:rPr>
              <w:t xml:space="preserve">3,181,245 </w:t>
            </w:r>
            <w:r w:rsidR="002752F6" w:rsidRPr="009B39EC">
              <w:rPr>
                <w:rFonts w:ascii="Arial" w:hAnsi="Arial" w:cs="Arial"/>
                <w:sz w:val="20"/>
                <w:szCs w:val="20"/>
                <w:lang w:val="en-GB"/>
              </w:rPr>
              <w:t>ALL</w:t>
            </w:r>
            <w:r w:rsidRPr="009B39EC">
              <w:rPr>
                <w:rFonts w:ascii="Arial" w:hAnsi="Arial" w:cs="Arial"/>
                <w:sz w:val="20"/>
                <w:szCs w:val="20"/>
                <w:lang w:val="en-GB"/>
              </w:rPr>
              <w:t xml:space="preserve"> </w:t>
            </w:r>
            <w:r w:rsidR="00850A6E" w:rsidRPr="009B39EC">
              <w:rPr>
                <w:rFonts w:ascii="Arial" w:hAnsi="Arial" w:cs="Arial"/>
                <w:sz w:val="20"/>
                <w:szCs w:val="20"/>
                <w:lang w:val="en-GB"/>
              </w:rPr>
              <w:t xml:space="preserve">(about </w:t>
            </w:r>
            <w:r w:rsidRPr="009B39EC">
              <w:rPr>
                <w:rFonts w:ascii="Arial" w:hAnsi="Arial" w:cs="Arial"/>
                <w:sz w:val="20"/>
                <w:szCs w:val="20"/>
                <w:lang w:val="en-GB"/>
              </w:rPr>
              <w:t>26</w:t>
            </w:r>
            <w:r w:rsidR="00177911" w:rsidRPr="009B39EC">
              <w:rPr>
                <w:rFonts w:ascii="Arial" w:hAnsi="Arial" w:cs="Arial"/>
                <w:sz w:val="20"/>
                <w:szCs w:val="20"/>
                <w:lang w:val="en-GB"/>
              </w:rPr>
              <w:t>.5 thousand Euro</w:t>
            </w:r>
            <w:r w:rsidRPr="009B39EC">
              <w:rPr>
                <w:rFonts w:ascii="Arial" w:hAnsi="Arial" w:cs="Arial"/>
                <w:sz w:val="20"/>
                <w:szCs w:val="20"/>
                <w:lang w:val="en-GB"/>
              </w:rPr>
              <w:t xml:space="preserve">) </w:t>
            </w:r>
            <w:r w:rsidR="00850A6E" w:rsidRPr="009B39EC">
              <w:rPr>
                <w:rFonts w:ascii="Arial" w:hAnsi="Arial" w:cs="Arial"/>
                <w:sz w:val="20"/>
                <w:szCs w:val="20"/>
                <w:lang w:val="en-GB"/>
              </w:rPr>
              <w:t>in 20</w:t>
            </w:r>
            <w:r w:rsidRPr="009B39EC">
              <w:rPr>
                <w:rFonts w:ascii="Arial" w:hAnsi="Arial" w:cs="Arial"/>
                <w:sz w:val="20"/>
                <w:szCs w:val="20"/>
                <w:lang w:val="en-GB"/>
              </w:rPr>
              <w:t>21</w:t>
            </w:r>
          </w:p>
        </w:tc>
        <w:tc>
          <w:tcPr>
            <w:tcW w:w="2419" w:type="dxa"/>
          </w:tcPr>
          <w:p w14:paraId="0B94C96A" w14:textId="5E20AB00" w:rsidR="00343D44" w:rsidRPr="009B39EC" w:rsidRDefault="00177911" w:rsidP="00E50B1D">
            <w:pPr>
              <w:rPr>
                <w:rFonts w:ascii="Arial" w:hAnsi="Arial" w:cs="Arial"/>
                <w:sz w:val="20"/>
                <w:szCs w:val="20"/>
                <w:lang w:val="en-GB"/>
              </w:rPr>
            </w:pPr>
            <w:r w:rsidRPr="009B39EC">
              <w:rPr>
                <w:rFonts w:ascii="Arial" w:hAnsi="Arial" w:cs="Arial"/>
                <w:sz w:val="20"/>
                <w:szCs w:val="20"/>
                <w:lang w:val="en-GB"/>
              </w:rPr>
              <w:t>Girls and women facing issues at home, victims of domestic violence</w:t>
            </w:r>
          </w:p>
        </w:tc>
      </w:tr>
      <w:tr w:rsidR="00177911" w:rsidRPr="009B39EC" w14:paraId="657048F9" w14:textId="77777777" w:rsidTr="00343D44">
        <w:tc>
          <w:tcPr>
            <w:tcW w:w="505" w:type="dxa"/>
          </w:tcPr>
          <w:p w14:paraId="1C1A0E01" w14:textId="0873EB9B" w:rsidR="00343D44" w:rsidRPr="009B39EC" w:rsidRDefault="00343D44" w:rsidP="00E50B1D">
            <w:pPr>
              <w:rPr>
                <w:rFonts w:ascii="Arial" w:hAnsi="Arial" w:cs="Arial"/>
                <w:sz w:val="20"/>
                <w:szCs w:val="20"/>
                <w:lang w:val="en-GB"/>
              </w:rPr>
            </w:pPr>
            <w:r w:rsidRPr="009B39EC">
              <w:rPr>
                <w:rFonts w:ascii="Arial" w:hAnsi="Arial" w:cs="Arial"/>
                <w:sz w:val="20"/>
                <w:szCs w:val="20"/>
                <w:lang w:val="en-GB"/>
              </w:rPr>
              <w:t>4</w:t>
            </w:r>
          </w:p>
        </w:tc>
        <w:tc>
          <w:tcPr>
            <w:tcW w:w="2100" w:type="dxa"/>
          </w:tcPr>
          <w:p w14:paraId="2E97F16A" w14:textId="163A9758" w:rsidR="00343D44" w:rsidRPr="009B39EC" w:rsidRDefault="00241568" w:rsidP="00E50B1D">
            <w:pPr>
              <w:rPr>
                <w:rFonts w:ascii="Arial" w:hAnsi="Arial" w:cs="Arial"/>
                <w:sz w:val="20"/>
                <w:szCs w:val="20"/>
                <w:lang w:val="en-GB"/>
              </w:rPr>
            </w:pPr>
            <w:r w:rsidRPr="009B39EC">
              <w:rPr>
                <w:rFonts w:ascii="Arial" w:hAnsi="Arial" w:cs="Arial"/>
                <w:sz w:val="20"/>
                <w:szCs w:val="20"/>
                <w:lang w:val="en-GB"/>
              </w:rPr>
              <w:t>Maliq</w:t>
            </w:r>
          </w:p>
        </w:tc>
        <w:tc>
          <w:tcPr>
            <w:tcW w:w="2700" w:type="dxa"/>
          </w:tcPr>
          <w:p w14:paraId="16153A10" w14:textId="5E6F950E" w:rsidR="00343D44" w:rsidRPr="009B39EC" w:rsidRDefault="00177911" w:rsidP="00E50B1D">
            <w:pPr>
              <w:rPr>
                <w:rFonts w:ascii="Arial" w:hAnsi="Arial" w:cs="Arial"/>
                <w:sz w:val="20"/>
                <w:szCs w:val="20"/>
                <w:lang w:val="en-GB"/>
              </w:rPr>
            </w:pPr>
            <w:r w:rsidRPr="009B39EC">
              <w:rPr>
                <w:rFonts w:ascii="Arial" w:hAnsi="Arial" w:cs="Arial"/>
                <w:sz w:val="20"/>
                <w:szCs w:val="20"/>
                <w:lang w:val="en-GB"/>
              </w:rPr>
              <w:t>An emergency centre for children in a situation of immediate danger</w:t>
            </w:r>
            <w:r w:rsidR="00241568" w:rsidRPr="009B39EC">
              <w:rPr>
                <w:rFonts w:ascii="Arial" w:hAnsi="Arial" w:cs="Arial"/>
                <w:sz w:val="20"/>
                <w:szCs w:val="20"/>
                <w:lang w:val="en-GB"/>
              </w:rPr>
              <w:t>.</w:t>
            </w:r>
          </w:p>
        </w:tc>
        <w:tc>
          <w:tcPr>
            <w:tcW w:w="1361" w:type="dxa"/>
          </w:tcPr>
          <w:p w14:paraId="47614763" w14:textId="227E0F8E" w:rsidR="00343D44" w:rsidRPr="009B39EC" w:rsidRDefault="00241568" w:rsidP="00E50B1D">
            <w:pPr>
              <w:rPr>
                <w:rFonts w:ascii="Arial" w:hAnsi="Arial" w:cs="Arial"/>
                <w:sz w:val="20"/>
                <w:szCs w:val="20"/>
                <w:lang w:val="en-GB"/>
              </w:rPr>
            </w:pPr>
            <w:r w:rsidRPr="009B39EC">
              <w:rPr>
                <w:rFonts w:ascii="Arial" w:hAnsi="Arial" w:cs="Arial"/>
                <w:sz w:val="20"/>
                <w:szCs w:val="20"/>
                <w:lang w:val="en-GB"/>
              </w:rPr>
              <w:t xml:space="preserve">869,524 </w:t>
            </w:r>
            <w:r w:rsidR="002752F6" w:rsidRPr="009B39EC">
              <w:rPr>
                <w:rFonts w:ascii="Arial" w:hAnsi="Arial" w:cs="Arial"/>
                <w:sz w:val="20"/>
                <w:szCs w:val="20"/>
                <w:lang w:val="en-GB"/>
              </w:rPr>
              <w:t>ALL</w:t>
            </w:r>
            <w:r w:rsidRPr="009B39EC">
              <w:rPr>
                <w:rFonts w:ascii="Arial" w:hAnsi="Arial" w:cs="Arial"/>
                <w:sz w:val="20"/>
                <w:szCs w:val="20"/>
                <w:lang w:val="en-GB"/>
              </w:rPr>
              <w:t xml:space="preserve"> </w:t>
            </w:r>
            <w:r w:rsidR="00850A6E" w:rsidRPr="009B39EC">
              <w:rPr>
                <w:rFonts w:ascii="Arial" w:hAnsi="Arial" w:cs="Arial"/>
                <w:sz w:val="20"/>
                <w:szCs w:val="20"/>
                <w:lang w:val="en-GB"/>
              </w:rPr>
              <w:t xml:space="preserve">(about </w:t>
            </w:r>
            <w:r w:rsidRPr="009B39EC">
              <w:rPr>
                <w:rFonts w:ascii="Arial" w:hAnsi="Arial" w:cs="Arial"/>
                <w:sz w:val="20"/>
                <w:szCs w:val="20"/>
                <w:lang w:val="en-GB"/>
              </w:rPr>
              <w:t xml:space="preserve">7 </w:t>
            </w:r>
            <w:r w:rsidR="00850A6E" w:rsidRPr="009B39EC">
              <w:rPr>
                <w:rFonts w:ascii="Arial" w:hAnsi="Arial" w:cs="Arial"/>
                <w:sz w:val="20"/>
                <w:szCs w:val="20"/>
                <w:lang w:val="en-GB"/>
              </w:rPr>
              <w:t>thousand Euro</w:t>
            </w:r>
            <w:r w:rsidRPr="009B39EC">
              <w:rPr>
                <w:rFonts w:ascii="Arial" w:hAnsi="Arial" w:cs="Arial"/>
                <w:sz w:val="20"/>
                <w:szCs w:val="20"/>
                <w:lang w:val="en-GB"/>
              </w:rPr>
              <w:t xml:space="preserve">) </w:t>
            </w:r>
            <w:r w:rsidR="00850A6E" w:rsidRPr="009B39EC">
              <w:rPr>
                <w:rFonts w:ascii="Arial" w:hAnsi="Arial" w:cs="Arial"/>
                <w:sz w:val="20"/>
                <w:szCs w:val="20"/>
                <w:lang w:val="en-GB"/>
              </w:rPr>
              <w:t>in 20</w:t>
            </w:r>
            <w:r w:rsidRPr="009B39EC">
              <w:rPr>
                <w:rFonts w:ascii="Arial" w:hAnsi="Arial" w:cs="Arial"/>
                <w:sz w:val="20"/>
                <w:szCs w:val="20"/>
                <w:lang w:val="en-GB"/>
              </w:rPr>
              <w:t>21</w:t>
            </w:r>
          </w:p>
        </w:tc>
        <w:tc>
          <w:tcPr>
            <w:tcW w:w="2419" w:type="dxa"/>
          </w:tcPr>
          <w:p w14:paraId="79FC770E" w14:textId="12A399E3" w:rsidR="00343D44" w:rsidRPr="009B39EC" w:rsidRDefault="00177911" w:rsidP="00E50B1D">
            <w:pPr>
              <w:rPr>
                <w:rFonts w:ascii="Arial" w:hAnsi="Arial" w:cs="Arial"/>
                <w:sz w:val="20"/>
                <w:szCs w:val="20"/>
                <w:lang w:val="en-GB"/>
              </w:rPr>
            </w:pPr>
            <w:r w:rsidRPr="009B39EC">
              <w:rPr>
                <w:rFonts w:ascii="Arial" w:hAnsi="Arial" w:cs="Arial"/>
                <w:sz w:val="20"/>
                <w:szCs w:val="20"/>
                <w:lang w:val="en-GB"/>
              </w:rPr>
              <w:t xml:space="preserve">Children aged </w:t>
            </w:r>
            <w:r w:rsidR="00241568" w:rsidRPr="009B39EC">
              <w:rPr>
                <w:rFonts w:ascii="Arial" w:hAnsi="Arial" w:cs="Arial"/>
                <w:sz w:val="20"/>
                <w:szCs w:val="20"/>
                <w:lang w:val="en-GB"/>
              </w:rPr>
              <w:t xml:space="preserve">0-18 </w:t>
            </w:r>
            <w:r w:rsidRPr="009B39EC">
              <w:rPr>
                <w:rFonts w:ascii="Arial" w:hAnsi="Arial" w:cs="Arial"/>
                <w:sz w:val="20"/>
                <w:szCs w:val="20"/>
                <w:lang w:val="en-GB"/>
              </w:rPr>
              <w:t xml:space="preserve">facing </w:t>
            </w:r>
            <w:proofErr w:type="gramStart"/>
            <w:r w:rsidRPr="009B39EC">
              <w:rPr>
                <w:rFonts w:ascii="Arial" w:hAnsi="Arial" w:cs="Arial"/>
                <w:sz w:val="20"/>
                <w:szCs w:val="20"/>
                <w:lang w:val="en-GB"/>
              </w:rPr>
              <w:t>an emergency situation</w:t>
            </w:r>
            <w:proofErr w:type="gramEnd"/>
            <w:r w:rsidR="00241568" w:rsidRPr="009B39EC">
              <w:rPr>
                <w:rFonts w:ascii="Arial" w:hAnsi="Arial" w:cs="Arial"/>
                <w:sz w:val="20"/>
                <w:szCs w:val="20"/>
                <w:lang w:val="en-GB"/>
              </w:rPr>
              <w:t>.</w:t>
            </w:r>
          </w:p>
        </w:tc>
      </w:tr>
    </w:tbl>
    <w:p w14:paraId="0E3C559D" w14:textId="3BAD2CD2" w:rsidR="00343D44" w:rsidRPr="009B39EC" w:rsidRDefault="00343D44" w:rsidP="00E50B1D">
      <w:pPr>
        <w:spacing w:after="0" w:line="240" w:lineRule="auto"/>
        <w:rPr>
          <w:rFonts w:ascii="Arial" w:hAnsi="Arial" w:cs="Arial"/>
          <w:sz w:val="20"/>
          <w:szCs w:val="20"/>
          <w:lang w:val="en-GB"/>
        </w:rPr>
      </w:pPr>
    </w:p>
    <w:p w14:paraId="7D9D4462" w14:textId="15556A7A" w:rsidR="00343D44" w:rsidRPr="009B39EC" w:rsidRDefault="00343D44" w:rsidP="00E50B1D">
      <w:pPr>
        <w:spacing w:after="0" w:line="240" w:lineRule="auto"/>
        <w:rPr>
          <w:rFonts w:ascii="Arial" w:hAnsi="Arial" w:cs="Arial"/>
          <w:sz w:val="20"/>
          <w:szCs w:val="20"/>
          <w:lang w:val="en-GB"/>
        </w:rPr>
      </w:pPr>
    </w:p>
    <w:p w14:paraId="08E27C00" w14:textId="77777777" w:rsidR="00343D44" w:rsidRPr="009B39EC" w:rsidRDefault="00343D44" w:rsidP="00E50B1D">
      <w:pPr>
        <w:spacing w:after="0" w:line="240" w:lineRule="auto"/>
        <w:rPr>
          <w:rFonts w:ascii="Arial" w:hAnsi="Arial" w:cs="Arial"/>
          <w:sz w:val="20"/>
          <w:szCs w:val="20"/>
          <w:lang w:val="en-GB"/>
        </w:rPr>
      </w:pPr>
    </w:p>
    <w:p w14:paraId="33958C30" w14:textId="3CD47CAB" w:rsidR="00614D82" w:rsidRPr="009B39EC" w:rsidRDefault="002752F6" w:rsidP="0053505A">
      <w:pPr>
        <w:pStyle w:val="Heading2"/>
        <w:rPr>
          <w:rFonts w:ascii="Arial" w:hAnsi="Arial" w:cs="Arial"/>
          <w:i w:val="0"/>
          <w:iCs w:val="0"/>
          <w:color w:val="4472C4" w:themeColor="accent1"/>
          <w:sz w:val="20"/>
          <w:szCs w:val="20"/>
          <w:lang w:val="en-GB"/>
        </w:rPr>
      </w:pPr>
      <w:bookmarkStart w:id="7" w:name="_Toc75851661"/>
      <w:r w:rsidRPr="009B39EC">
        <w:rPr>
          <w:rFonts w:ascii="Arial" w:hAnsi="Arial" w:cs="Arial"/>
          <w:i w:val="0"/>
          <w:iCs w:val="0"/>
          <w:color w:val="4472C4" w:themeColor="accent1"/>
          <w:sz w:val="20"/>
          <w:szCs w:val="20"/>
          <w:lang w:val="en-GB"/>
        </w:rPr>
        <w:t>ANNEX</w:t>
      </w:r>
      <w:r w:rsidR="002154F5" w:rsidRPr="009B39EC">
        <w:rPr>
          <w:rFonts w:ascii="Arial" w:hAnsi="Arial" w:cs="Arial"/>
          <w:i w:val="0"/>
          <w:iCs w:val="0"/>
          <w:color w:val="4472C4" w:themeColor="accent1"/>
          <w:sz w:val="20"/>
          <w:szCs w:val="20"/>
          <w:lang w:val="en-GB"/>
        </w:rPr>
        <w:t xml:space="preserve"> 4: </w:t>
      </w:r>
      <w:r w:rsidR="007E17D3" w:rsidRPr="009B39EC">
        <w:rPr>
          <w:rFonts w:ascii="Arial" w:hAnsi="Arial" w:cs="Arial"/>
          <w:i w:val="0"/>
          <w:iCs w:val="0"/>
          <w:color w:val="4472C4" w:themeColor="accent1"/>
          <w:sz w:val="20"/>
          <w:szCs w:val="20"/>
          <w:lang w:val="en-GB"/>
        </w:rPr>
        <w:t>IMPLEMENTATION OF GENDER RESPONSIVE BUDGETING OVER THE YEARS</w:t>
      </w:r>
      <w:bookmarkEnd w:id="7"/>
    </w:p>
    <w:p w14:paraId="53443D98" w14:textId="77777777" w:rsidR="00614D82" w:rsidRPr="009B39EC" w:rsidRDefault="00614D82" w:rsidP="00614D82">
      <w:pPr>
        <w:spacing w:line="276" w:lineRule="auto"/>
        <w:jc w:val="both"/>
        <w:rPr>
          <w:rFonts w:ascii="Arial" w:hAnsi="Arial" w:cs="Arial"/>
          <w:sz w:val="20"/>
          <w:szCs w:val="20"/>
          <w:lang w:val="en-GB"/>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338"/>
        <w:gridCol w:w="1408"/>
        <w:gridCol w:w="1058"/>
        <w:gridCol w:w="885"/>
        <w:gridCol w:w="1302"/>
        <w:gridCol w:w="1479"/>
      </w:tblGrid>
      <w:tr w:rsidR="002154F5" w:rsidRPr="009B39EC" w14:paraId="13E5341C" w14:textId="77777777" w:rsidTr="002154F5">
        <w:trPr>
          <w:trHeight w:val="818"/>
        </w:trPr>
        <w:tc>
          <w:tcPr>
            <w:tcW w:w="847" w:type="pct"/>
          </w:tcPr>
          <w:p w14:paraId="1F3F5C3F" w14:textId="04FF6B1E" w:rsidR="002154F5" w:rsidRPr="009B39EC" w:rsidRDefault="007E17D3" w:rsidP="00491D1F">
            <w:pPr>
              <w:spacing w:after="0" w:line="240" w:lineRule="auto"/>
              <w:jc w:val="both"/>
              <w:rPr>
                <w:rFonts w:ascii="Arial" w:hAnsi="Arial" w:cs="Arial"/>
                <w:b/>
                <w:sz w:val="20"/>
                <w:szCs w:val="20"/>
                <w:lang w:val="en-GB"/>
              </w:rPr>
            </w:pPr>
            <w:r w:rsidRPr="009B39EC">
              <w:rPr>
                <w:rFonts w:ascii="Arial" w:hAnsi="Arial" w:cs="Arial"/>
                <w:sz w:val="20"/>
                <w:szCs w:val="20"/>
                <w:lang w:val="en-GB"/>
              </w:rPr>
              <w:t>Year</w:t>
            </w:r>
          </w:p>
        </w:tc>
        <w:tc>
          <w:tcPr>
            <w:tcW w:w="744" w:type="pct"/>
          </w:tcPr>
          <w:p w14:paraId="5CC291B6" w14:textId="6FEAB547" w:rsidR="002154F5" w:rsidRPr="009B39EC" w:rsidRDefault="007E17D3"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No of budget programmes</w:t>
            </w:r>
          </w:p>
        </w:tc>
        <w:tc>
          <w:tcPr>
            <w:tcW w:w="783" w:type="pct"/>
          </w:tcPr>
          <w:p w14:paraId="2F5CCF21" w14:textId="58CEA5BA" w:rsidR="002154F5" w:rsidRPr="009B39EC" w:rsidRDefault="007E17D3"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No of budget programmes that include GRB</w:t>
            </w:r>
          </w:p>
        </w:tc>
        <w:tc>
          <w:tcPr>
            <w:tcW w:w="588" w:type="pct"/>
          </w:tcPr>
          <w:p w14:paraId="168300EE" w14:textId="46232802" w:rsidR="002154F5" w:rsidRPr="009B39EC" w:rsidRDefault="007E17D3"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No of objectives</w:t>
            </w:r>
            <w:r w:rsidR="002154F5" w:rsidRPr="009B39EC">
              <w:rPr>
                <w:rFonts w:ascii="Arial" w:hAnsi="Arial" w:cs="Arial"/>
                <w:sz w:val="20"/>
                <w:szCs w:val="20"/>
                <w:lang w:val="en-GB"/>
              </w:rPr>
              <w:tab/>
            </w:r>
          </w:p>
        </w:tc>
        <w:tc>
          <w:tcPr>
            <w:tcW w:w="492" w:type="pct"/>
          </w:tcPr>
          <w:p w14:paraId="3AC75911" w14:textId="365A091D"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N</w:t>
            </w:r>
            <w:r w:rsidR="007E17D3" w:rsidRPr="009B39EC">
              <w:rPr>
                <w:rFonts w:ascii="Arial" w:hAnsi="Arial" w:cs="Arial"/>
                <w:sz w:val="20"/>
                <w:szCs w:val="20"/>
                <w:lang w:val="en-GB"/>
              </w:rPr>
              <w:t>o of outcomes</w:t>
            </w:r>
            <w:r w:rsidRPr="009B39EC">
              <w:rPr>
                <w:rFonts w:ascii="Arial" w:hAnsi="Arial" w:cs="Arial"/>
                <w:sz w:val="20"/>
                <w:szCs w:val="20"/>
                <w:lang w:val="en-GB"/>
              </w:rPr>
              <w:tab/>
            </w:r>
          </w:p>
        </w:tc>
        <w:tc>
          <w:tcPr>
            <w:tcW w:w="724" w:type="pct"/>
          </w:tcPr>
          <w:p w14:paraId="0CB0BA45" w14:textId="1657D14E" w:rsidR="002154F5" w:rsidRPr="009B39EC" w:rsidRDefault="007E17D3"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Budgetary funds for GRB</w:t>
            </w:r>
            <w:r w:rsidR="002154F5" w:rsidRPr="009B39EC">
              <w:rPr>
                <w:rFonts w:ascii="Arial" w:hAnsi="Arial" w:cs="Arial"/>
                <w:sz w:val="20"/>
                <w:szCs w:val="20"/>
                <w:lang w:val="en-GB"/>
              </w:rPr>
              <w:t xml:space="preserve"> (</w:t>
            </w:r>
            <w:r w:rsidRPr="009B39EC">
              <w:rPr>
                <w:rFonts w:ascii="Arial" w:hAnsi="Arial" w:cs="Arial"/>
                <w:sz w:val="20"/>
                <w:szCs w:val="20"/>
                <w:lang w:val="en-GB"/>
              </w:rPr>
              <w:t xml:space="preserve">in million </w:t>
            </w:r>
            <w:r w:rsidR="002154F5" w:rsidRPr="009B39EC">
              <w:rPr>
                <w:rFonts w:ascii="Arial" w:hAnsi="Arial" w:cs="Arial"/>
                <w:sz w:val="20"/>
                <w:szCs w:val="20"/>
                <w:lang w:val="en-GB"/>
              </w:rPr>
              <w:t>USD)</w:t>
            </w:r>
          </w:p>
        </w:tc>
        <w:tc>
          <w:tcPr>
            <w:tcW w:w="823" w:type="pct"/>
          </w:tcPr>
          <w:p w14:paraId="72E69B6A" w14:textId="1C827FB0" w:rsidR="002154F5" w:rsidRPr="009B39EC" w:rsidRDefault="007515B1"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w:t>
            </w:r>
            <w:r w:rsidR="002154F5" w:rsidRPr="009B39EC">
              <w:rPr>
                <w:rFonts w:ascii="Arial" w:hAnsi="Arial" w:cs="Arial"/>
                <w:sz w:val="20"/>
                <w:szCs w:val="20"/>
                <w:lang w:val="en-GB"/>
              </w:rPr>
              <w:t xml:space="preserve"> </w:t>
            </w:r>
            <w:proofErr w:type="gramStart"/>
            <w:r w:rsidR="007E17D3" w:rsidRPr="009B39EC">
              <w:rPr>
                <w:rFonts w:ascii="Arial" w:hAnsi="Arial" w:cs="Arial"/>
                <w:sz w:val="20"/>
                <w:szCs w:val="20"/>
                <w:lang w:val="en-GB"/>
              </w:rPr>
              <w:t>of</w:t>
            </w:r>
            <w:proofErr w:type="gramEnd"/>
            <w:r w:rsidR="007E17D3" w:rsidRPr="009B39EC">
              <w:rPr>
                <w:rFonts w:ascii="Arial" w:hAnsi="Arial" w:cs="Arial"/>
                <w:sz w:val="20"/>
                <w:szCs w:val="20"/>
                <w:lang w:val="en-GB"/>
              </w:rPr>
              <w:t xml:space="preserve"> the total of budget expenditure</w:t>
            </w:r>
          </w:p>
        </w:tc>
      </w:tr>
      <w:tr w:rsidR="002154F5" w:rsidRPr="009B39EC" w14:paraId="5E92663E" w14:textId="77777777" w:rsidTr="002154F5">
        <w:trPr>
          <w:trHeight w:val="260"/>
        </w:trPr>
        <w:tc>
          <w:tcPr>
            <w:tcW w:w="847" w:type="pct"/>
          </w:tcPr>
          <w:p w14:paraId="2E30F4E3" w14:textId="77777777" w:rsidR="002154F5" w:rsidRPr="009B39EC" w:rsidRDefault="002154F5" w:rsidP="00491D1F">
            <w:pPr>
              <w:spacing w:after="0" w:line="240" w:lineRule="auto"/>
              <w:jc w:val="both"/>
              <w:rPr>
                <w:rFonts w:ascii="Arial" w:hAnsi="Arial" w:cs="Arial"/>
                <w:b/>
                <w:sz w:val="20"/>
                <w:szCs w:val="20"/>
                <w:lang w:val="en-GB"/>
              </w:rPr>
            </w:pPr>
            <w:r w:rsidRPr="009B39EC">
              <w:rPr>
                <w:rFonts w:ascii="Arial" w:hAnsi="Arial" w:cs="Arial"/>
                <w:sz w:val="20"/>
                <w:szCs w:val="20"/>
                <w:lang w:val="en-GB"/>
              </w:rPr>
              <w:t>2017-2019</w:t>
            </w:r>
          </w:p>
        </w:tc>
        <w:tc>
          <w:tcPr>
            <w:tcW w:w="744" w:type="pct"/>
          </w:tcPr>
          <w:p w14:paraId="272F6562"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84</w:t>
            </w:r>
          </w:p>
        </w:tc>
        <w:tc>
          <w:tcPr>
            <w:tcW w:w="783" w:type="pct"/>
          </w:tcPr>
          <w:p w14:paraId="60512DED"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24</w:t>
            </w:r>
          </w:p>
        </w:tc>
        <w:tc>
          <w:tcPr>
            <w:tcW w:w="588" w:type="pct"/>
          </w:tcPr>
          <w:p w14:paraId="255BC852"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32</w:t>
            </w:r>
          </w:p>
        </w:tc>
        <w:tc>
          <w:tcPr>
            <w:tcW w:w="492" w:type="pct"/>
          </w:tcPr>
          <w:p w14:paraId="4D20C8DB"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33</w:t>
            </w:r>
          </w:p>
        </w:tc>
        <w:tc>
          <w:tcPr>
            <w:tcW w:w="724" w:type="pct"/>
          </w:tcPr>
          <w:p w14:paraId="7DC655F1"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90</w:t>
            </w:r>
          </w:p>
        </w:tc>
        <w:tc>
          <w:tcPr>
            <w:tcW w:w="823" w:type="pct"/>
          </w:tcPr>
          <w:p w14:paraId="3CDBFD54" w14:textId="4497E14B"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2.3</w:t>
            </w:r>
            <w:r w:rsidR="007515B1" w:rsidRPr="009B39EC">
              <w:rPr>
                <w:rFonts w:ascii="Arial" w:hAnsi="Arial" w:cs="Arial"/>
                <w:sz w:val="20"/>
                <w:szCs w:val="20"/>
                <w:lang w:val="en-GB"/>
              </w:rPr>
              <w:t>%</w:t>
            </w:r>
          </w:p>
        </w:tc>
      </w:tr>
      <w:tr w:rsidR="002154F5" w:rsidRPr="009B39EC" w14:paraId="578723E1" w14:textId="77777777" w:rsidTr="002154F5">
        <w:trPr>
          <w:trHeight w:val="260"/>
        </w:trPr>
        <w:tc>
          <w:tcPr>
            <w:tcW w:w="847" w:type="pct"/>
          </w:tcPr>
          <w:p w14:paraId="3169337D" w14:textId="77777777" w:rsidR="002154F5" w:rsidRPr="009B39EC" w:rsidRDefault="002154F5" w:rsidP="00491D1F">
            <w:pPr>
              <w:spacing w:after="0" w:line="240" w:lineRule="auto"/>
              <w:jc w:val="both"/>
              <w:rPr>
                <w:rFonts w:ascii="Arial" w:hAnsi="Arial" w:cs="Arial"/>
                <w:b/>
                <w:sz w:val="20"/>
                <w:szCs w:val="20"/>
                <w:lang w:val="en-GB"/>
              </w:rPr>
            </w:pPr>
            <w:r w:rsidRPr="009B39EC">
              <w:rPr>
                <w:rFonts w:ascii="Arial" w:hAnsi="Arial" w:cs="Arial"/>
                <w:sz w:val="20"/>
                <w:szCs w:val="20"/>
                <w:lang w:val="en-GB"/>
              </w:rPr>
              <w:t>2018-2020</w:t>
            </w:r>
          </w:p>
        </w:tc>
        <w:tc>
          <w:tcPr>
            <w:tcW w:w="744" w:type="pct"/>
          </w:tcPr>
          <w:p w14:paraId="2BE90985"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84</w:t>
            </w:r>
          </w:p>
        </w:tc>
        <w:tc>
          <w:tcPr>
            <w:tcW w:w="783" w:type="pct"/>
          </w:tcPr>
          <w:p w14:paraId="261EF541"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28</w:t>
            </w:r>
          </w:p>
        </w:tc>
        <w:tc>
          <w:tcPr>
            <w:tcW w:w="588" w:type="pct"/>
          </w:tcPr>
          <w:p w14:paraId="0CB39276"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41</w:t>
            </w:r>
          </w:p>
        </w:tc>
        <w:tc>
          <w:tcPr>
            <w:tcW w:w="492" w:type="pct"/>
          </w:tcPr>
          <w:p w14:paraId="60067628"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41</w:t>
            </w:r>
          </w:p>
        </w:tc>
        <w:tc>
          <w:tcPr>
            <w:tcW w:w="724" w:type="pct"/>
          </w:tcPr>
          <w:p w14:paraId="72EFCCB2"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120</w:t>
            </w:r>
          </w:p>
        </w:tc>
        <w:tc>
          <w:tcPr>
            <w:tcW w:w="823" w:type="pct"/>
          </w:tcPr>
          <w:p w14:paraId="748CC5A4" w14:textId="63CA8850"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2.4</w:t>
            </w:r>
            <w:r w:rsidR="007515B1" w:rsidRPr="009B39EC">
              <w:rPr>
                <w:rFonts w:ascii="Arial" w:hAnsi="Arial" w:cs="Arial"/>
                <w:sz w:val="20"/>
                <w:szCs w:val="20"/>
                <w:lang w:val="en-GB"/>
              </w:rPr>
              <w:t>%</w:t>
            </w:r>
          </w:p>
        </w:tc>
      </w:tr>
      <w:tr w:rsidR="002154F5" w:rsidRPr="009B39EC" w14:paraId="2EA2217D" w14:textId="77777777" w:rsidTr="002154F5">
        <w:trPr>
          <w:trHeight w:val="260"/>
        </w:trPr>
        <w:tc>
          <w:tcPr>
            <w:tcW w:w="847" w:type="pct"/>
          </w:tcPr>
          <w:p w14:paraId="76785FF4" w14:textId="77777777" w:rsidR="002154F5" w:rsidRPr="009B39EC" w:rsidRDefault="002154F5" w:rsidP="00491D1F">
            <w:pPr>
              <w:spacing w:after="0" w:line="240" w:lineRule="auto"/>
              <w:jc w:val="both"/>
              <w:rPr>
                <w:rFonts w:ascii="Arial" w:hAnsi="Arial" w:cs="Arial"/>
                <w:b/>
                <w:sz w:val="20"/>
                <w:szCs w:val="20"/>
                <w:lang w:val="en-GB"/>
              </w:rPr>
            </w:pPr>
            <w:r w:rsidRPr="009B39EC">
              <w:rPr>
                <w:rFonts w:ascii="Arial" w:hAnsi="Arial" w:cs="Arial"/>
                <w:sz w:val="20"/>
                <w:szCs w:val="20"/>
                <w:lang w:val="en-GB"/>
              </w:rPr>
              <w:t>2019-2021</w:t>
            </w:r>
          </w:p>
        </w:tc>
        <w:tc>
          <w:tcPr>
            <w:tcW w:w="744" w:type="pct"/>
          </w:tcPr>
          <w:p w14:paraId="0305FF18"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74</w:t>
            </w:r>
          </w:p>
        </w:tc>
        <w:tc>
          <w:tcPr>
            <w:tcW w:w="783" w:type="pct"/>
          </w:tcPr>
          <w:p w14:paraId="1817DB1E"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33</w:t>
            </w:r>
          </w:p>
        </w:tc>
        <w:tc>
          <w:tcPr>
            <w:tcW w:w="588" w:type="pct"/>
          </w:tcPr>
          <w:p w14:paraId="663DC57F"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52</w:t>
            </w:r>
          </w:p>
        </w:tc>
        <w:tc>
          <w:tcPr>
            <w:tcW w:w="492" w:type="pct"/>
          </w:tcPr>
          <w:p w14:paraId="6ACE816F"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52</w:t>
            </w:r>
          </w:p>
        </w:tc>
        <w:tc>
          <w:tcPr>
            <w:tcW w:w="724" w:type="pct"/>
          </w:tcPr>
          <w:p w14:paraId="0F487989" w14:textId="7777777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eastAsia="en-GB"/>
              </w:rPr>
              <w:t>285</w:t>
            </w:r>
          </w:p>
        </w:tc>
        <w:tc>
          <w:tcPr>
            <w:tcW w:w="823" w:type="pct"/>
          </w:tcPr>
          <w:p w14:paraId="6A6B3A22" w14:textId="00C3F7C7" w:rsidR="002154F5" w:rsidRPr="009B39EC" w:rsidRDefault="002154F5" w:rsidP="00491D1F">
            <w:pPr>
              <w:spacing w:after="0" w:line="240" w:lineRule="auto"/>
              <w:jc w:val="both"/>
              <w:rPr>
                <w:rFonts w:ascii="Arial" w:hAnsi="Arial" w:cs="Arial"/>
                <w:sz w:val="20"/>
                <w:szCs w:val="20"/>
                <w:lang w:val="en-GB"/>
              </w:rPr>
            </w:pPr>
            <w:r w:rsidRPr="009B39EC">
              <w:rPr>
                <w:rFonts w:ascii="Arial" w:hAnsi="Arial" w:cs="Arial"/>
                <w:sz w:val="20"/>
                <w:szCs w:val="20"/>
                <w:lang w:val="en-GB"/>
              </w:rPr>
              <w:t>6.3</w:t>
            </w:r>
            <w:r w:rsidR="007515B1" w:rsidRPr="009B39EC">
              <w:rPr>
                <w:rFonts w:ascii="Arial" w:hAnsi="Arial" w:cs="Arial"/>
                <w:sz w:val="20"/>
                <w:szCs w:val="20"/>
                <w:lang w:val="en-GB"/>
              </w:rPr>
              <w:t>%</w:t>
            </w:r>
          </w:p>
        </w:tc>
      </w:tr>
    </w:tbl>
    <w:p w14:paraId="075A4609" w14:textId="2D3D786D" w:rsidR="00582F0A" w:rsidRPr="009B39EC" w:rsidRDefault="00582F0A" w:rsidP="00614D82">
      <w:pPr>
        <w:spacing w:line="276" w:lineRule="auto"/>
        <w:jc w:val="both"/>
        <w:rPr>
          <w:rFonts w:ascii="Arial" w:hAnsi="Arial" w:cs="Arial"/>
          <w:sz w:val="20"/>
          <w:szCs w:val="20"/>
          <w:lang w:val="en-GB" w:eastAsia="en-GB"/>
        </w:rPr>
      </w:pPr>
    </w:p>
    <w:p w14:paraId="2A41A712" w14:textId="33B31D3B" w:rsidR="00582F0A" w:rsidRPr="009B39EC" w:rsidRDefault="00582F0A" w:rsidP="00614D82">
      <w:pPr>
        <w:spacing w:line="276" w:lineRule="auto"/>
        <w:jc w:val="both"/>
        <w:rPr>
          <w:rFonts w:ascii="Arial" w:hAnsi="Arial" w:cs="Arial"/>
          <w:sz w:val="20"/>
          <w:szCs w:val="20"/>
          <w:lang w:val="en-GB" w:eastAsia="en-GB"/>
        </w:rPr>
      </w:pPr>
    </w:p>
    <w:p w14:paraId="7975230B" w14:textId="77777777" w:rsidR="00582F0A" w:rsidRPr="009B39EC" w:rsidRDefault="00582F0A" w:rsidP="00614D82">
      <w:pPr>
        <w:spacing w:line="276" w:lineRule="auto"/>
        <w:jc w:val="both"/>
        <w:rPr>
          <w:rFonts w:ascii="Arial" w:hAnsi="Arial" w:cs="Arial"/>
          <w:sz w:val="20"/>
          <w:szCs w:val="20"/>
          <w:lang w:val="en-GB" w:eastAsia="en-GB"/>
        </w:rPr>
      </w:pPr>
    </w:p>
    <w:p w14:paraId="2D999F72" w14:textId="4185E650" w:rsidR="00582F0A" w:rsidRPr="009B39EC" w:rsidRDefault="002752F6" w:rsidP="0053505A">
      <w:pPr>
        <w:pStyle w:val="Heading2"/>
        <w:rPr>
          <w:rFonts w:ascii="Arial" w:hAnsi="Arial" w:cs="Arial"/>
          <w:i w:val="0"/>
          <w:iCs w:val="0"/>
          <w:color w:val="4472C4" w:themeColor="accent1"/>
          <w:sz w:val="20"/>
          <w:szCs w:val="20"/>
          <w:lang w:val="en-GB"/>
        </w:rPr>
      </w:pPr>
      <w:bookmarkStart w:id="8" w:name="_Toc75851662"/>
      <w:r w:rsidRPr="009B39EC">
        <w:rPr>
          <w:rFonts w:ascii="Arial" w:hAnsi="Arial" w:cs="Arial"/>
          <w:i w:val="0"/>
          <w:iCs w:val="0"/>
          <w:color w:val="4472C4" w:themeColor="accent1"/>
          <w:sz w:val="20"/>
          <w:szCs w:val="20"/>
          <w:lang w:val="en-GB"/>
        </w:rPr>
        <w:lastRenderedPageBreak/>
        <w:t>ANNEX</w:t>
      </w:r>
      <w:r w:rsidR="00582F0A" w:rsidRPr="009B39EC">
        <w:rPr>
          <w:rFonts w:ascii="Arial" w:hAnsi="Arial" w:cs="Arial"/>
          <w:i w:val="0"/>
          <w:iCs w:val="0"/>
          <w:color w:val="4472C4" w:themeColor="accent1"/>
          <w:sz w:val="20"/>
          <w:szCs w:val="20"/>
          <w:lang w:val="en-GB"/>
        </w:rPr>
        <w:t xml:space="preserve"> 5: </w:t>
      </w:r>
      <w:r w:rsidR="00177911" w:rsidRPr="009B39EC">
        <w:rPr>
          <w:rFonts w:ascii="Arial" w:hAnsi="Arial" w:cs="Arial"/>
          <w:i w:val="0"/>
          <w:iCs w:val="0"/>
          <w:color w:val="4472C4" w:themeColor="accent1"/>
          <w:sz w:val="20"/>
          <w:szCs w:val="20"/>
          <w:lang w:val="en-GB"/>
        </w:rPr>
        <w:t>DOMESTIC VIOLENCE DATA PROVIDED BY INSTAT</w:t>
      </w:r>
      <w:bookmarkEnd w:id="8"/>
      <w:r w:rsidR="00177911" w:rsidRPr="009B39EC">
        <w:rPr>
          <w:rFonts w:ascii="Arial" w:hAnsi="Arial" w:cs="Arial"/>
          <w:i w:val="0"/>
          <w:iCs w:val="0"/>
          <w:color w:val="4472C4" w:themeColor="accent1"/>
          <w:sz w:val="20"/>
          <w:szCs w:val="20"/>
          <w:lang w:val="en-GB"/>
        </w:rPr>
        <w:t xml:space="preserve"> </w:t>
      </w:r>
    </w:p>
    <w:p w14:paraId="5B88AF9E" w14:textId="77777777" w:rsidR="00E16285" w:rsidRPr="009B39EC" w:rsidRDefault="00E16285" w:rsidP="00E16285">
      <w:pPr>
        <w:pStyle w:val="Caption"/>
        <w:keepNext/>
        <w:jc w:val="both"/>
        <w:rPr>
          <w:rFonts w:ascii="Arial" w:hAnsi="Arial" w:cs="Arial"/>
          <w:lang w:val="en-GB"/>
        </w:rPr>
      </w:pPr>
    </w:p>
    <w:p w14:paraId="700D638A" w14:textId="25C62148" w:rsidR="00614D82" w:rsidRPr="009B39EC" w:rsidRDefault="00E16285" w:rsidP="00E16285">
      <w:pPr>
        <w:pStyle w:val="Caption"/>
        <w:keepNext/>
        <w:jc w:val="both"/>
        <w:rPr>
          <w:rFonts w:ascii="Arial" w:hAnsi="Arial" w:cs="Arial"/>
          <w:lang w:val="en-GB"/>
        </w:rPr>
      </w:pPr>
      <w:r w:rsidRPr="009B39EC">
        <w:rPr>
          <w:rFonts w:ascii="Arial" w:hAnsi="Arial" w:cs="Arial"/>
          <w:lang w:val="en-GB"/>
        </w:rPr>
        <w:t xml:space="preserve">Table </w:t>
      </w:r>
      <w:r w:rsidRPr="009B39EC">
        <w:rPr>
          <w:rFonts w:ascii="Arial" w:hAnsi="Arial" w:cs="Arial"/>
          <w:lang w:val="en-GB"/>
        </w:rPr>
        <w:fldChar w:fldCharType="begin"/>
      </w:r>
      <w:r w:rsidRPr="009B39EC">
        <w:rPr>
          <w:rFonts w:ascii="Arial" w:hAnsi="Arial" w:cs="Arial"/>
          <w:lang w:val="en-GB"/>
        </w:rPr>
        <w:instrText xml:space="preserve"> SEQ Tabela \* ARABIC </w:instrText>
      </w:r>
      <w:r w:rsidRPr="009B39EC">
        <w:rPr>
          <w:rFonts w:ascii="Arial" w:hAnsi="Arial" w:cs="Arial"/>
          <w:lang w:val="en-GB"/>
        </w:rPr>
        <w:fldChar w:fldCharType="separate"/>
      </w:r>
      <w:r w:rsidRPr="009B39EC">
        <w:rPr>
          <w:rFonts w:ascii="Arial" w:hAnsi="Arial" w:cs="Arial"/>
          <w:lang w:val="en-GB"/>
        </w:rPr>
        <w:t>1</w:t>
      </w:r>
      <w:r w:rsidRPr="009B39EC">
        <w:rPr>
          <w:rFonts w:ascii="Arial" w:hAnsi="Arial" w:cs="Arial"/>
          <w:lang w:val="en-GB"/>
        </w:rPr>
        <w:fldChar w:fldCharType="end"/>
      </w:r>
      <w:r w:rsidRPr="009B39EC">
        <w:rPr>
          <w:rFonts w:ascii="Arial" w:hAnsi="Arial" w:cs="Arial"/>
          <w:lang w:val="en-GB"/>
        </w:rPr>
        <w:t xml:space="preserve">: Domestic violence by year </w:t>
      </w:r>
    </w:p>
    <w:tbl>
      <w:tblPr>
        <w:tblStyle w:val="TableGrid"/>
        <w:tblW w:w="0" w:type="auto"/>
        <w:tblLook w:val="04A0" w:firstRow="1" w:lastRow="0" w:firstColumn="1" w:lastColumn="0" w:noHBand="0" w:noVBand="1"/>
      </w:tblPr>
      <w:tblGrid>
        <w:gridCol w:w="3256"/>
        <w:gridCol w:w="1275"/>
        <w:gridCol w:w="1418"/>
        <w:gridCol w:w="1559"/>
        <w:gridCol w:w="1566"/>
      </w:tblGrid>
      <w:tr w:rsidR="00E16285" w:rsidRPr="009B39EC" w14:paraId="12975B5A" w14:textId="77777777" w:rsidTr="00E16285">
        <w:tc>
          <w:tcPr>
            <w:tcW w:w="3256" w:type="dxa"/>
          </w:tcPr>
          <w:p w14:paraId="41C5497A" w14:textId="77777777" w:rsidR="00E16285" w:rsidRPr="009B39EC" w:rsidRDefault="00E16285" w:rsidP="00614D82">
            <w:pPr>
              <w:spacing w:line="276" w:lineRule="auto"/>
              <w:jc w:val="both"/>
              <w:rPr>
                <w:rFonts w:ascii="Arial" w:hAnsi="Arial" w:cs="Arial"/>
                <w:sz w:val="20"/>
                <w:szCs w:val="20"/>
                <w:lang w:val="en-GB" w:eastAsia="en-GB"/>
              </w:rPr>
            </w:pPr>
          </w:p>
        </w:tc>
        <w:tc>
          <w:tcPr>
            <w:tcW w:w="1275" w:type="dxa"/>
          </w:tcPr>
          <w:p w14:paraId="48A0B7A5" w14:textId="77777777" w:rsidR="00E16285" w:rsidRPr="009B39EC" w:rsidRDefault="00E16285" w:rsidP="00614D82">
            <w:pPr>
              <w:spacing w:line="276" w:lineRule="auto"/>
              <w:jc w:val="both"/>
              <w:rPr>
                <w:rFonts w:ascii="Arial" w:hAnsi="Arial" w:cs="Arial"/>
                <w:sz w:val="20"/>
                <w:szCs w:val="20"/>
                <w:lang w:val="en-GB" w:eastAsia="en-GB"/>
              </w:rPr>
            </w:pPr>
          </w:p>
        </w:tc>
        <w:tc>
          <w:tcPr>
            <w:tcW w:w="2977" w:type="dxa"/>
            <w:gridSpan w:val="2"/>
          </w:tcPr>
          <w:p w14:paraId="407B1103" w14:textId="0DB7A0D6"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Domestic Violence</w:t>
            </w:r>
          </w:p>
        </w:tc>
        <w:tc>
          <w:tcPr>
            <w:tcW w:w="1566" w:type="dxa"/>
          </w:tcPr>
          <w:p w14:paraId="4C487402" w14:textId="77777777" w:rsidR="00E16285" w:rsidRPr="009B39EC" w:rsidRDefault="00E16285" w:rsidP="00614D82">
            <w:pPr>
              <w:spacing w:line="276" w:lineRule="auto"/>
              <w:jc w:val="both"/>
              <w:rPr>
                <w:rFonts w:ascii="Arial" w:hAnsi="Arial" w:cs="Arial"/>
                <w:sz w:val="20"/>
                <w:szCs w:val="20"/>
                <w:lang w:val="en-GB" w:eastAsia="en-GB"/>
              </w:rPr>
            </w:pPr>
          </w:p>
        </w:tc>
      </w:tr>
      <w:tr w:rsidR="00E16285" w:rsidRPr="009B39EC" w14:paraId="64AC4301" w14:textId="77777777" w:rsidTr="00E16285">
        <w:tc>
          <w:tcPr>
            <w:tcW w:w="3256" w:type="dxa"/>
          </w:tcPr>
          <w:p w14:paraId="53985161" w14:textId="77777777" w:rsidR="00E16285" w:rsidRPr="009B39EC" w:rsidRDefault="00E16285" w:rsidP="00E16285">
            <w:pPr>
              <w:jc w:val="both"/>
              <w:rPr>
                <w:rFonts w:ascii="Arial" w:hAnsi="Arial" w:cs="Arial"/>
                <w:color w:val="000000" w:themeColor="text1"/>
                <w:sz w:val="20"/>
                <w:szCs w:val="20"/>
                <w:lang w:val="en-GB" w:eastAsia="en-GB"/>
              </w:rPr>
            </w:pPr>
          </w:p>
        </w:tc>
        <w:tc>
          <w:tcPr>
            <w:tcW w:w="1275" w:type="dxa"/>
          </w:tcPr>
          <w:p w14:paraId="1576CD3C" w14:textId="045D9079"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2017</w:t>
            </w:r>
          </w:p>
        </w:tc>
        <w:tc>
          <w:tcPr>
            <w:tcW w:w="1418" w:type="dxa"/>
          </w:tcPr>
          <w:p w14:paraId="09AC25DB" w14:textId="45095E91"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2018</w:t>
            </w:r>
          </w:p>
        </w:tc>
        <w:tc>
          <w:tcPr>
            <w:tcW w:w="1559" w:type="dxa"/>
          </w:tcPr>
          <w:p w14:paraId="2C34F8BC" w14:textId="27229746"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2019</w:t>
            </w:r>
          </w:p>
        </w:tc>
        <w:tc>
          <w:tcPr>
            <w:tcW w:w="1566" w:type="dxa"/>
          </w:tcPr>
          <w:p w14:paraId="0737044A" w14:textId="4E0A1DD6"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2020</w:t>
            </w:r>
          </w:p>
        </w:tc>
      </w:tr>
      <w:tr w:rsidR="00E16285" w:rsidRPr="009B39EC" w14:paraId="782268CE" w14:textId="77777777" w:rsidTr="00E16285">
        <w:tc>
          <w:tcPr>
            <w:tcW w:w="3256" w:type="dxa"/>
          </w:tcPr>
          <w:p w14:paraId="5D3944FF" w14:textId="77777777" w:rsidR="00E16285" w:rsidRPr="009B39EC" w:rsidRDefault="00E16285" w:rsidP="00E16285">
            <w:pPr>
              <w:jc w:val="both"/>
              <w:rPr>
                <w:rFonts w:ascii="Arial" w:hAnsi="Arial" w:cs="Arial"/>
                <w:color w:val="000000" w:themeColor="text1"/>
                <w:sz w:val="20"/>
                <w:szCs w:val="20"/>
                <w:lang w:val="en-GB" w:eastAsia="en-GB"/>
              </w:rPr>
            </w:pPr>
            <w:r w:rsidRPr="009B39EC">
              <w:rPr>
                <w:rFonts w:ascii="Arial" w:hAnsi="Arial" w:cs="Arial"/>
                <w:color w:val="000000" w:themeColor="text1"/>
                <w:sz w:val="20"/>
                <w:szCs w:val="20"/>
                <w:lang w:val="en-GB" w:eastAsia="en-GB"/>
              </w:rPr>
              <w:t>Number of cases identified by the police</w:t>
            </w:r>
          </w:p>
          <w:p w14:paraId="3F935913" w14:textId="77777777" w:rsidR="00E16285" w:rsidRPr="009B39EC" w:rsidRDefault="00E16285" w:rsidP="00614D82">
            <w:pPr>
              <w:spacing w:line="276" w:lineRule="auto"/>
              <w:jc w:val="both"/>
              <w:rPr>
                <w:rFonts w:ascii="Arial" w:hAnsi="Arial" w:cs="Arial"/>
                <w:color w:val="000000" w:themeColor="text1"/>
                <w:sz w:val="20"/>
                <w:szCs w:val="20"/>
                <w:lang w:val="en-GB" w:eastAsia="en-GB"/>
              </w:rPr>
            </w:pPr>
          </w:p>
        </w:tc>
        <w:tc>
          <w:tcPr>
            <w:tcW w:w="1275" w:type="dxa"/>
          </w:tcPr>
          <w:p w14:paraId="12CD1455" w14:textId="205752B9"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4005</w:t>
            </w:r>
          </w:p>
        </w:tc>
        <w:tc>
          <w:tcPr>
            <w:tcW w:w="1418" w:type="dxa"/>
          </w:tcPr>
          <w:p w14:paraId="6091BFF8" w14:textId="196F560E"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4411</w:t>
            </w:r>
          </w:p>
        </w:tc>
        <w:tc>
          <w:tcPr>
            <w:tcW w:w="1559" w:type="dxa"/>
          </w:tcPr>
          <w:p w14:paraId="527E64AF" w14:textId="138A6861"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4177</w:t>
            </w:r>
          </w:p>
        </w:tc>
        <w:tc>
          <w:tcPr>
            <w:tcW w:w="1566" w:type="dxa"/>
          </w:tcPr>
          <w:p w14:paraId="55E97460" w14:textId="1D0A4DAA" w:rsidR="00E16285" w:rsidRPr="009B39EC" w:rsidRDefault="00E16285" w:rsidP="00614D82">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4321</w:t>
            </w:r>
          </w:p>
        </w:tc>
      </w:tr>
      <w:tr w:rsidR="00E16285" w:rsidRPr="009B39EC" w14:paraId="62D8E989" w14:textId="77777777" w:rsidTr="00E16285">
        <w:tc>
          <w:tcPr>
            <w:tcW w:w="3256" w:type="dxa"/>
          </w:tcPr>
          <w:p w14:paraId="6E0D6E3C" w14:textId="77777777" w:rsidR="00E16285" w:rsidRPr="009B39EC" w:rsidRDefault="00E16285" w:rsidP="00E16285">
            <w:pPr>
              <w:jc w:val="both"/>
              <w:rPr>
                <w:rFonts w:ascii="Arial" w:hAnsi="Arial" w:cs="Arial"/>
                <w:color w:val="000000" w:themeColor="text1"/>
                <w:sz w:val="20"/>
                <w:szCs w:val="20"/>
                <w:lang w:val="en-GB" w:eastAsia="en-GB"/>
              </w:rPr>
            </w:pPr>
            <w:r w:rsidRPr="009B39EC">
              <w:rPr>
                <w:rFonts w:ascii="Arial" w:hAnsi="Arial" w:cs="Arial"/>
                <w:color w:val="000000" w:themeColor="text1"/>
                <w:sz w:val="20"/>
                <w:szCs w:val="20"/>
                <w:lang w:val="en-GB" w:eastAsia="en-GB"/>
              </w:rPr>
              <w:t>Of which, deaths:</w:t>
            </w:r>
          </w:p>
          <w:p w14:paraId="5B1B902F" w14:textId="77777777" w:rsidR="00E16285" w:rsidRPr="009B39EC" w:rsidRDefault="00E16285" w:rsidP="00E16285">
            <w:pPr>
              <w:jc w:val="both"/>
              <w:rPr>
                <w:rFonts w:ascii="Arial" w:hAnsi="Arial" w:cs="Arial"/>
                <w:color w:val="000000" w:themeColor="text1"/>
                <w:sz w:val="20"/>
                <w:szCs w:val="20"/>
                <w:lang w:val="en-GB" w:eastAsia="en-GB"/>
              </w:rPr>
            </w:pPr>
          </w:p>
        </w:tc>
        <w:tc>
          <w:tcPr>
            <w:tcW w:w="1275" w:type="dxa"/>
          </w:tcPr>
          <w:p w14:paraId="4B7743E6" w14:textId="49499065"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13</w:t>
            </w:r>
          </w:p>
        </w:tc>
        <w:tc>
          <w:tcPr>
            <w:tcW w:w="1418" w:type="dxa"/>
          </w:tcPr>
          <w:p w14:paraId="3974ACD1" w14:textId="71CFF7FA"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19</w:t>
            </w:r>
          </w:p>
        </w:tc>
        <w:tc>
          <w:tcPr>
            <w:tcW w:w="1559" w:type="dxa"/>
          </w:tcPr>
          <w:p w14:paraId="4C1694BC" w14:textId="28075506"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17</w:t>
            </w:r>
          </w:p>
        </w:tc>
        <w:tc>
          <w:tcPr>
            <w:tcW w:w="1566" w:type="dxa"/>
          </w:tcPr>
          <w:p w14:paraId="1954BCBA" w14:textId="38071CEB"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11</w:t>
            </w:r>
          </w:p>
        </w:tc>
      </w:tr>
      <w:tr w:rsidR="00E16285" w:rsidRPr="009B39EC" w14:paraId="4C421E57" w14:textId="77777777" w:rsidTr="00E16285">
        <w:tc>
          <w:tcPr>
            <w:tcW w:w="3256" w:type="dxa"/>
          </w:tcPr>
          <w:p w14:paraId="7B4A84B3" w14:textId="77777777" w:rsidR="00E16285" w:rsidRPr="009B39EC" w:rsidRDefault="00E16285" w:rsidP="00E16285">
            <w:pPr>
              <w:jc w:val="both"/>
              <w:rPr>
                <w:rFonts w:ascii="Arial" w:hAnsi="Arial" w:cs="Arial"/>
                <w:color w:val="000000" w:themeColor="text1"/>
                <w:sz w:val="20"/>
                <w:szCs w:val="20"/>
                <w:lang w:val="en-GB" w:eastAsia="en-GB"/>
              </w:rPr>
            </w:pPr>
            <w:r w:rsidRPr="009B39EC">
              <w:rPr>
                <w:rFonts w:ascii="Arial" w:hAnsi="Arial" w:cs="Arial"/>
                <w:color w:val="000000" w:themeColor="text1"/>
                <w:sz w:val="20"/>
                <w:szCs w:val="20"/>
                <w:lang w:val="en-GB" w:eastAsia="en-GB"/>
              </w:rPr>
              <w:t>Applications for protection orders</w:t>
            </w:r>
          </w:p>
          <w:p w14:paraId="36840EED" w14:textId="531D8AD5" w:rsidR="00E16285" w:rsidRPr="009B39EC" w:rsidRDefault="00E16285" w:rsidP="00E16285">
            <w:pPr>
              <w:spacing w:line="276" w:lineRule="auto"/>
              <w:jc w:val="both"/>
              <w:rPr>
                <w:rFonts w:ascii="Arial" w:hAnsi="Arial" w:cs="Arial"/>
                <w:sz w:val="20"/>
                <w:szCs w:val="20"/>
                <w:lang w:val="en-GB" w:eastAsia="en-GB"/>
              </w:rPr>
            </w:pPr>
          </w:p>
        </w:tc>
        <w:tc>
          <w:tcPr>
            <w:tcW w:w="1275" w:type="dxa"/>
          </w:tcPr>
          <w:p w14:paraId="033D71FE" w14:textId="49DFDF39"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2593</w:t>
            </w:r>
          </w:p>
        </w:tc>
        <w:tc>
          <w:tcPr>
            <w:tcW w:w="1418" w:type="dxa"/>
          </w:tcPr>
          <w:p w14:paraId="674AD338" w14:textId="60671C8F"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3037</w:t>
            </w:r>
          </w:p>
        </w:tc>
        <w:tc>
          <w:tcPr>
            <w:tcW w:w="1559" w:type="dxa"/>
          </w:tcPr>
          <w:p w14:paraId="3C960328" w14:textId="6EBF8146" w:rsidR="00E16285" w:rsidRPr="009B39EC" w:rsidRDefault="00E5561E"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2836</w:t>
            </w:r>
          </w:p>
        </w:tc>
        <w:tc>
          <w:tcPr>
            <w:tcW w:w="1566" w:type="dxa"/>
          </w:tcPr>
          <w:p w14:paraId="6203F104" w14:textId="661C5ED0" w:rsidR="00E16285" w:rsidRPr="009B39EC" w:rsidRDefault="00E5561E"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2816</w:t>
            </w:r>
          </w:p>
        </w:tc>
      </w:tr>
      <w:tr w:rsidR="00E16285" w:rsidRPr="009B39EC" w14:paraId="74F9FD81" w14:textId="77777777" w:rsidTr="00E16285">
        <w:tc>
          <w:tcPr>
            <w:tcW w:w="3256" w:type="dxa"/>
          </w:tcPr>
          <w:p w14:paraId="1F92BB10" w14:textId="2F63E379" w:rsidR="00E16285" w:rsidRPr="009B39EC" w:rsidRDefault="00E16285"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Perpetrators</w:t>
            </w:r>
          </w:p>
        </w:tc>
        <w:tc>
          <w:tcPr>
            <w:tcW w:w="1275" w:type="dxa"/>
          </w:tcPr>
          <w:p w14:paraId="5B1F04EA" w14:textId="615E48A1" w:rsidR="00E16285" w:rsidRPr="009B39EC" w:rsidRDefault="00E5561E"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4166</w:t>
            </w:r>
          </w:p>
        </w:tc>
        <w:tc>
          <w:tcPr>
            <w:tcW w:w="1418" w:type="dxa"/>
          </w:tcPr>
          <w:p w14:paraId="500C7660" w14:textId="7C0436D5" w:rsidR="00E16285" w:rsidRPr="009B39EC" w:rsidRDefault="00E5561E"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4562</w:t>
            </w:r>
          </w:p>
        </w:tc>
        <w:tc>
          <w:tcPr>
            <w:tcW w:w="1559" w:type="dxa"/>
          </w:tcPr>
          <w:p w14:paraId="092613E6" w14:textId="2462E443" w:rsidR="00E16285" w:rsidRPr="009B39EC" w:rsidRDefault="00E5561E"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4323</w:t>
            </w:r>
          </w:p>
        </w:tc>
        <w:tc>
          <w:tcPr>
            <w:tcW w:w="1566" w:type="dxa"/>
          </w:tcPr>
          <w:p w14:paraId="14D61BED" w14:textId="0A857AD2" w:rsidR="00E16285" w:rsidRPr="009B39EC" w:rsidRDefault="00E5561E" w:rsidP="00E16285">
            <w:pPr>
              <w:spacing w:line="276" w:lineRule="auto"/>
              <w:jc w:val="both"/>
              <w:rPr>
                <w:rFonts w:ascii="Arial" w:hAnsi="Arial" w:cs="Arial"/>
                <w:sz w:val="20"/>
                <w:szCs w:val="20"/>
                <w:lang w:val="en-GB" w:eastAsia="en-GB"/>
              </w:rPr>
            </w:pPr>
            <w:r w:rsidRPr="009B39EC">
              <w:rPr>
                <w:rFonts w:ascii="Arial" w:hAnsi="Arial" w:cs="Arial"/>
                <w:sz w:val="20"/>
                <w:szCs w:val="20"/>
                <w:lang w:val="en-GB" w:eastAsia="en-GB"/>
              </w:rPr>
              <w:t>4443</w:t>
            </w:r>
          </w:p>
        </w:tc>
      </w:tr>
    </w:tbl>
    <w:p w14:paraId="42FC5C1C" w14:textId="77777777" w:rsidR="00E16285" w:rsidRPr="009B39EC" w:rsidRDefault="00E16285" w:rsidP="00614D82">
      <w:pPr>
        <w:spacing w:line="276" w:lineRule="auto"/>
        <w:jc w:val="both"/>
        <w:rPr>
          <w:rFonts w:ascii="Arial" w:hAnsi="Arial" w:cs="Arial"/>
          <w:sz w:val="20"/>
          <w:szCs w:val="20"/>
          <w:lang w:val="en-GB" w:eastAsia="en-GB"/>
        </w:rPr>
      </w:pPr>
    </w:p>
    <w:p w14:paraId="216D5DE7" w14:textId="77777777" w:rsidR="004E1005" w:rsidRPr="009B39EC" w:rsidRDefault="004E1005" w:rsidP="00643E94">
      <w:pPr>
        <w:spacing w:after="0" w:line="240" w:lineRule="auto"/>
        <w:rPr>
          <w:rFonts w:ascii="Arial" w:hAnsi="Arial" w:cs="Arial"/>
          <w:b/>
          <w:bCs/>
          <w:sz w:val="20"/>
          <w:szCs w:val="20"/>
          <w:lang w:val="en-GB"/>
        </w:rPr>
      </w:pPr>
    </w:p>
    <w:p w14:paraId="6C0FD702" w14:textId="5C18ED98" w:rsidR="00643E94" w:rsidRPr="009B39EC" w:rsidRDefault="002752F6" w:rsidP="0053505A">
      <w:pPr>
        <w:pStyle w:val="Heading2"/>
        <w:rPr>
          <w:rFonts w:ascii="Arial" w:hAnsi="Arial" w:cs="Arial"/>
          <w:i w:val="0"/>
          <w:iCs w:val="0"/>
          <w:color w:val="4472C4" w:themeColor="accent1"/>
          <w:sz w:val="20"/>
          <w:szCs w:val="20"/>
          <w:lang w:val="en-GB"/>
        </w:rPr>
      </w:pPr>
      <w:bookmarkStart w:id="9" w:name="_Toc75851663"/>
      <w:r w:rsidRPr="009B39EC">
        <w:rPr>
          <w:rFonts w:ascii="Arial" w:hAnsi="Arial" w:cs="Arial"/>
          <w:i w:val="0"/>
          <w:iCs w:val="0"/>
          <w:color w:val="4472C4" w:themeColor="accent1"/>
          <w:sz w:val="20"/>
          <w:szCs w:val="20"/>
          <w:lang w:val="en-GB"/>
        </w:rPr>
        <w:t>ANNEX</w:t>
      </w:r>
      <w:r w:rsidR="00643E94" w:rsidRPr="009B39EC">
        <w:rPr>
          <w:rFonts w:ascii="Arial" w:hAnsi="Arial" w:cs="Arial"/>
          <w:i w:val="0"/>
          <w:iCs w:val="0"/>
          <w:color w:val="4472C4" w:themeColor="accent1"/>
          <w:sz w:val="20"/>
          <w:szCs w:val="20"/>
          <w:lang w:val="en-GB"/>
        </w:rPr>
        <w:t xml:space="preserve"> </w:t>
      </w:r>
      <w:r w:rsidR="00582F0A" w:rsidRPr="009B39EC">
        <w:rPr>
          <w:rFonts w:ascii="Arial" w:hAnsi="Arial" w:cs="Arial"/>
          <w:i w:val="0"/>
          <w:iCs w:val="0"/>
          <w:color w:val="4472C4" w:themeColor="accent1"/>
          <w:sz w:val="20"/>
          <w:szCs w:val="20"/>
          <w:lang w:val="en-GB"/>
        </w:rPr>
        <w:t>6</w:t>
      </w:r>
      <w:r w:rsidR="00643E94" w:rsidRPr="009B39EC">
        <w:rPr>
          <w:rFonts w:ascii="Arial" w:hAnsi="Arial" w:cs="Arial"/>
          <w:i w:val="0"/>
          <w:iCs w:val="0"/>
          <w:color w:val="4472C4" w:themeColor="accent1"/>
          <w:sz w:val="20"/>
          <w:szCs w:val="20"/>
          <w:lang w:val="en-GB"/>
        </w:rPr>
        <w:t xml:space="preserve">: </w:t>
      </w:r>
      <w:r w:rsidR="007E17D3" w:rsidRPr="009B39EC">
        <w:rPr>
          <w:rFonts w:ascii="Arial" w:hAnsi="Arial" w:cs="Arial"/>
          <w:i w:val="0"/>
          <w:iCs w:val="0"/>
          <w:color w:val="4472C4" w:themeColor="accent1"/>
          <w:sz w:val="20"/>
          <w:szCs w:val="20"/>
          <w:lang w:val="en-GB"/>
        </w:rPr>
        <w:t xml:space="preserve">DATA GENERATED FROM THE </w:t>
      </w:r>
      <w:r w:rsidR="00643E94" w:rsidRPr="009B39EC">
        <w:rPr>
          <w:rFonts w:ascii="Arial" w:hAnsi="Arial" w:cs="Arial"/>
          <w:i w:val="0"/>
          <w:iCs w:val="0"/>
          <w:color w:val="4472C4" w:themeColor="accent1"/>
          <w:sz w:val="20"/>
          <w:szCs w:val="20"/>
          <w:lang w:val="en-GB"/>
        </w:rPr>
        <w:t>REVALB</w:t>
      </w:r>
      <w:r w:rsidR="007E17D3" w:rsidRPr="009B39EC">
        <w:rPr>
          <w:rFonts w:ascii="Arial" w:hAnsi="Arial" w:cs="Arial"/>
          <w:i w:val="0"/>
          <w:iCs w:val="0"/>
          <w:color w:val="4472C4" w:themeColor="accent1"/>
          <w:sz w:val="20"/>
          <w:szCs w:val="20"/>
          <w:lang w:val="en-GB"/>
        </w:rPr>
        <w:t xml:space="preserve"> SYSTEM</w:t>
      </w:r>
      <w:bookmarkEnd w:id="9"/>
    </w:p>
    <w:p w14:paraId="406F1F88" w14:textId="02196838" w:rsidR="00643E94" w:rsidRPr="009B39EC" w:rsidRDefault="00643E94" w:rsidP="00614D82">
      <w:pPr>
        <w:spacing w:line="276" w:lineRule="auto"/>
        <w:jc w:val="both"/>
        <w:rPr>
          <w:rFonts w:ascii="Arial" w:hAnsi="Arial" w:cs="Arial"/>
          <w:sz w:val="20"/>
          <w:szCs w:val="20"/>
          <w:lang w:val="en-GB" w:eastAsia="en-GB"/>
        </w:rPr>
      </w:pPr>
    </w:p>
    <w:p w14:paraId="6E7E3F44" w14:textId="5E893A31" w:rsidR="00643E94" w:rsidRPr="009B39EC" w:rsidRDefault="00643E94" w:rsidP="00614D82">
      <w:pPr>
        <w:spacing w:line="276" w:lineRule="auto"/>
        <w:jc w:val="both"/>
        <w:rPr>
          <w:rFonts w:ascii="Arial" w:hAnsi="Arial" w:cs="Arial"/>
          <w:sz w:val="20"/>
          <w:szCs w:val="20"/>
          <w:lang w:val="en-GB" w:eastAsia="en-GB"/>
        </w:rPr>
      </w:pPr>
      <w:r w:rsidRPr="009B39EC">
        <w:rPr>
          <w:rFonts w:ascii="Arial" w:hAnsi="Arial" w:cs="Arial"/>
          <w:noProof/>
          <w:sz w:val="20"/>
          <w:szCs w:val="20"/>
          <w:lang w:val="en-GB"/>
        </w:rPr>
        <w:drawing>
          <wp:inline distT="0" distB="0" distL="0" distR="0" wp14:anchorId="1F776594" wp14:editId="2286F7C5">
            <wp:extent cx="5767623" cy="3452884"/>
            <wp:effectExtent l="0" t="0" r="508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5871" cy="3457822"/>
                    </a:xfrm>
                    <a:prstGeom prst="rect">
                      <a:avLst/>
                    </a:prstGeom>
                    <a:noFill/>
                    <a:ln>
                      <a:noFill/>
                    </a:ln>
                  </pic:spPr>
                </pic:pic>
              </a:graphicData>
            </a:graphic>
          </wp:inline>
        </w:drawing>
      </w:r>
    </w:p>
    <w:p w14:paraId="47EA82F0" w14:textId="01D9306E" w:rsidR="00614D82" w:rsidRPr="009B39EC" w:rsidRDefault="00614D82" w:rsidP="00E50B1D">
      <w:pPr>
        <w:spacing w:after="0" w:line="240" w:lineRule="auto"/>
        <w:rPr>
          <w:rFonts w:ascii="Arial" w:hAnsi="Arial" w:cs="Arial"/>
          <w:sz w:val="20"/>
          <w:szCs w:val="20"/>
          <w:lang w:val="en-GB"/>
        </w:rPr>
      </w:pPr>
    </w:p>
    <w:p w14:paraId="0423A6EF" w14:textId="66C7D06D" w:rsidR="00643E94" w:rsidRPr="009B39EC" w:rsidRDefault="00643E94" w:rsidP="00E50B1D">
      <w:pPr>
        <w:spacing w:after="0" w:line="240" w:lineRule="auto"/>
        <w:rPr>
          <w:rFonts w:ascii="Arial" w:hAnsi="Arial" w:cs="Arial"/>
          <w:sz w:val="20"/>
          <w:szCs w:val="20"/>
          <w:lang w:val="en-GB"/>
        </w:rPr>
      </w:pPr>
    </w:p>
    <w:p w14:paraId="1A93DFE0" w14:textId="3600495A" w:rsidR="00643E94" w:rsidRPr="009B39EC" w:rsidRDefault="00643E94" w:rsidP="00E50B1D">
      <w:pPr>
        <w:spacing w:after="0" w:line="240" w:lineRule="auto"/>
        <w:rPr>
          <w:rFonts w:ascii="Arial" w:hAnsi="Arial" w:cs="Arial"/>
          <w:sz w:val="20"/>
          <w:szCs w:val="20"/>
          <w:lang w:val="en-GB"/>
        </w:rPr>
      </w:pPr>
    </w:p>
    <w:p w14:paraId="62157B95" w14:textId="7436D4AC" w:rsidR="006879BB" w:rsidRPr="009B39EC" w:rsidRDefault="006879BB" w:rsidP="006879BB">
      <w:pPr>
        <w:pStyle w:val="Caption"/>
        <w:keepNext/>
        <w:rPr>
          <w:rFonts w:ascii="Arial" w:hAnsi="Arial" w:cs="Arial"/>
          <w:lang w:val="en-GB"/>
        </w:rPr>
      </w:pPr>
      <w:r w:rsidRPr="009B39EC">
        <w:rPr>
          <w:rFonts w:ascii="Arial" w:hAnsi="Arial" w:cs="Arial"/>
          <w:lang w:val="en-GB"/>
        </w:rPr>
        <w:lastRenderedPageBreak/>
        <w:t xml:space="preserve">Table </w:t>
      </w:r>
      <w:r w:rsidRPr="009B39EC">
        <w:rPr>
          <w:rFonts w:ascii="Arial" w:hAnsi="Arial" w:cs="Arial"/>
          <w:lang w:val="en-GB"/>
        </w:rPr>
        <w:fldChar w:fldCharType="begin"/>
      </w:r>
      <w:r w:rsidRPr="009B39EC">
        <w:rPr>
          <w:rFonts w:ascii="Arial" w:hAnsi="Arial" w:cs="Arial"/>
          <w:lang w:val="en-GB"/>
        </w:rPr>
        <w:instrText xml:space="preserve"> SEQ Table \* ARABIC </w:instrText>
      </w:r>
      <w:r w:rsidRPr="009B39EC">
        <w:rPr>
          <w:rFonts w:ascii="Arial" w:hAnsi="Arial" w:cs="Arial"/>
          <w:lang w:val="en-GB"/>
        </w:rPr>
        <w:fldChar w:fldCharType="separate"/>
      </w:r>
      <w:r w:rsidR="00582F0A" w:rsidRPr="009B39EC">
        <w:rPr>
          <w:rFonts w:ascii="Arial" w:hAnsi="Arial" w:cs="Arial"/>
          <w:lang w:val="en-GB"/>
        </w:rPr>
        <w:t>2</w:t>
      </w:r>
      <w:r w:rsidRPr="009B39EC">
        <w:rPr>
          <w:rFonts w:ascii="Arial" w:hAnsi="Arial" w:cs="Arial"/>
          <w:lang w:val="en-GB"/>
        </w:rPr>
        <w:fldChar w:fldCharType="end"/>
      </w:r>
      <w:r w:rsidRPr="009B39EC">
        <w:rPr>
          <w:rFonts w:ascii="Arial" w:hAnsi="Arial" w:cs="Arial"/>
          <w:lang w:val="en-GB"/>
        </w:rPr>
        <w:t>: Requests for EPO/</w:t>
      </w:r>
      <w:r w:rsidR="00924683" w:rsidRPr="009B39EC">
        <w:rPr>
          <w:rFonts w:ascii="Arial" w:hAnsi="Arial" w:cs="Arial"/>
          <w:lang w:val="en-GB"/>
        </w:rPr>
        <w:t>POS</w:t>
      </w:r>
      <w:r w:rsidR="00A65624" w:rsidRPr="009B39EC">
        <w:rPr>
          <w:rFonts w:ascii="Arial" w:hAnsi="Arial" w:cs="Arial"/>
          <w:lang w:val="en-GB"/>
        </w:rPr>
        <w:t xml:space="preserve"> </w:t>
      </w:r>
      <w:r w:rsidRPr="009B39EC">
        <w:rPr>
          <w:rFonts w:ascii="Arial" w:hAnsi="Arial" w:cs="Arial"/>
          <w:lang w:val="en-GB"/>
        </w:rPr>
        <w:t xml:space="preserve">and their monitoring – </w:t>
      </w:r>
      <w:r w:rsidR="00210B1B" w:rsidRPr="009B39EC">
        <w:rPr>
          <w:rFonts w:ascii="Arial" w:hAnsi="Arial" w:cs="Arial"/>
          <w:lang w:val="en-GB"/>
        </w:rPr>
        <w:t xml:space="preserve">The </w:t>
      </w:r>
      <w:r w:rsidRPr="009B39EC">
        <w:rPr>
          <w:rFonts w:ascii="Arial" w:hAnsi="Arial" w:cs="Arial"/>
          <w:lang w:val="en-GB"/>
        </w:rPr>
        <w:t>REVAL</w:t>
      </w:r>
      <w:r w:rsidR="00210B1B" w:rsidRPr="009B39EC">
        <w:rPr>
          <w:rFonts w:ascii="Arial" w:hAnsi="Arial" w:cs="Arial"/>
          <w:lang w:val="en-GB"/>
        </w:rPr>
        <w:t>B</w:t>
      </w:r>
      <w:r w:rsidRPr="009B39EC">
        <w:rPr>
          <w:rFonts w:ascii="Arial" w:hAnsi="Arial" w:cs="Arial"/>
          <w:lang w:val="en-GB"/>
        </w:rPr>
        <w:t xml:space="preserve"> system</w:t>
      </w:r>
    </w:p>
    <w:p w14:paraId="440AC548" w14:textId="1DB9E3C7" w:rsidR="00643E94" w:rsidRPr="009B39EC" w:rsidRDefault="00643E94" w:rsidP="00E50B1D">
      <w:pPr>
        <w:spacing w:after="0" w:line="240" w:lineRule="auto"/>
        <w:rPr>
          <w:rFonts w:ascii="Arial" w:hAnsi="Arial" w:cs="Arial"/>
          <w:sz w:val="20"/>
          <w:szCs w:val="20"/>
          <w:lang w:val="en-GB"/>
        </w:rPr>
      </w:pPr>
      <w:r w:rsidRPr="009B39EC">
        <w:rPr>
          <w:rFonts w:ascii="Arial" w:hAnsi="Arial" w:cs="Arial"/>
          <w:noProof/>
          <w:sz w:val="20"/>
          <w:szCs w:val="20"/>
          <w:lang w:val="en-GB"/>
        </w:rPr>
        <w:drawing>
          <wp:inline distT="0" distB="0" distL="0" distR="0" wp14:anchorId="6F1BBBD6" wp14:editId="701FA902">
            <wp:extent cx="5768340" cy="201302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0021" cy="2031063"/>
                    </a:xfrm>
                    <a:prstGeom prst="rect">
                      <a:avLst/>
                    </a:prstGeom>
                    <a:noFill/>
                    <a:ln>
                      <a:noFill/>
                    </a:ln>
                  </pic:spPr>
                </pic:pic>
              </a:graphicData>
            </a:graphic>
          </wp:inline>
        </w:drawing>
      </w:r>
    </w:p>
    <w:p w14:paraId="7F641E68" w14:textId="3EEF892C" w:rsidR="006879BB" w:rsidRPr="009B39EC" w:rsidRDefault="006879BB" w:rsidP="00E50B1D">
      <w:pPr>
        <w:spacing w:after="0" w:line="240" w:lineRule="auto"/>
        <w:rPr>
          <w:rFonts w:ascii="Arial" w:hAnsi="Arial" w:cs="Arial"/>
          <w:sz w:val="20"/>
          <w:szCs w:val="20"/>
          <w:lang w:val="en-GB"/>
        </w:rPr>
      </w:pPr>
    </w:p>
    <w:p w14:paraId="066E2D89" w14:textId="4BD59E5C" w:rsidR="006879BB" w:rsidRPr="009B39EC" w:rsidRDefault="006879BB" w:rsidP="00E50B1D">
      <w:pPr>
        <w:spacing w:after="0" w:line="240" w:lineRule="auto"/>
        <w:rPr>
          <w:rFonts w:ascii="Arial" w:hAnsi="Arial" w:cs="Arial"/>
          <w:sz w:val="20"/>
          <w:szCs w:val="20"/>
          <w:lang w:val="en-GB"/>
        </w:rPr>
      </w:pPr>
    </w:p>
    <w:p w14:paraId="740D129F" w14:textId="2B219961" w:rsidR="006879BB" w:rsidRPr="009B39EC" w:rsidRDefault="006879BB" w:rsidP="006879BB">
      <w:pPr>
        <w:pStyle w:val="Caption"/>
        <w:keepNext/>
        <w:rPr>
          <w:rFonts w:ascii="Arial" w:hAnsi="Arial" w:cs="Arial"/>
          <w:lang w:val="en-GB"/>
        </w:rPr>
      </w:pPr>
      <w:r w:rsidRPr="009B39EC">
        <w:rPr>
          <w:rFonts w:ascii="Arial" w:hAnsi="Arial" w:cs="Arial"/>
          <w:lang w:val="en-GB"/>
        </w:rPr>
        <w:t xml:space="preserve">Table </w:t>
      </w:r>
      <w:r w:rsidRPr="009B39EC">
        <w:rPr>
          <w:rFonts w:ascii="Arial" w:hAnsi="Arial" w:cs="Arial"/>
          <w:lang w:val="en-GB"/>
        </w:rPr>
        <w:fldChar w:fldCharType="begin"/>
      </w:r>
      <w:r w:rsidRPr="009B39EC">
        <w:rPr>
          <w:rFonts w:ascii="Arial" w:hAnsi="Arial" w:cs="Arial"/>
          <w:lang w:val="en-GB"/>
        </w:rPr>
        <w:instrText xml:space="preserve"> SEQ Table \* ARABIC </w:instrText>
      </w:r>
      <w:r w:rsidRPr="009B39EC">
        <w:rPr>
          <w:rFonts w:ascii="Arial" w:hAnsi="Arial" w:cs="Arial"/>
          <w:lang w:val="en-GB"/>
        </w:rPr>
        <w:fldChar w:fldCharType="separate"/>
      </w:r>
      <w:r w:rsidR="00582F0A" w:rsidRPr="009B39EC">
        <w:rPr>
          <w:rFonts w:ascii="Arial" w:hAnsi="Arial" w:cs="Arial"/>
          <w:lang w:val="en-GB"/>
        </w:rPr>
        <w:t>3</w:t>
      </w:r>
      <w:r w:rsidRPr="009B39EC">
        <w:rPr>
          <w:rFonts w:ascii="Arial" w:hAnsi="Arial" w:cs="Arial"/>
          <w:lang w:val="en-GB"/>
        </w:rPr>
        <w:fldChar w:fldCharType="end"/>
      </w:r>
      <w:r w:rsidRPr="009B39EC">
        <w:rPr>
          <w:rFonts w:ascii="Arial" w:hAnsi="Arial" w:cs="Arial"/>
          <w:lang w:val="en-GB"/>
        </w:rPr>
        <w:t>: Number of coordinated meetings - REVALB system</w:t>
      </w:r>
    </w:p>
    <w:p w14:paraId="5D291519" w14:textId="2954551C" w:rsidR="006879BB" w:rsidRPr="009B39EC" w:rsidRDefault="006879BB" w:rsidP="00E50B1D">
      <w:pPr>
        <w:spacing w:after="0" w:line="240" w:lineRule="auto"/>
        <w:rPr>
          <w:rFonts w:ascii="Arial" w:hAnsi="Arial" w:cs="Arial"/>
          <w:sz w:val="20"/>
          <w:szCs w:val="20"/>
          <w:lang w:val="en-GB"/>
        </w:rPr>
      </w:pPr>
      <w:r w:rsidRPr="009B39EC">
        <w:rPr>
          <w:rFonts w:ascii="Arial" w:hAnsi="Arial" w:cs="Arial"/>
          <w:noProof/>
          <w:sz w:val="20"/>
          <w:szCs w:val="20"/>
          <w:lang w:val="en-GB"/>
        </w:rPr>
        <w:drawing>
          <wp:inline distT="0" distB="0" distL="0" distR="0" wp14:anchorId="74C01662" wp14:editId="5C60EF5D">
            <wp:extent cx="5692537" cy="2209165"/>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4215" cy="2213697"/>
                    </a:xfrm>
                    <a:prstGeom prst="rect">
                      <a:avLst/>
                    </a:prstGeom>
                    <a:noFill/>
                    <a:ln>
                      <a:noFill/>
                    </a:ln>
                  </pic:spPr>
                </pic:pic>
              </a:graphicData>
            </a:graphic>
          </wp:inline>
        </w:drawing>
      </w:r>
    </w:p>
    <w:p w14:paraId="2351D0B1" w14:textId="14BFCEA6" w:rsidR="006E0ED4" w:rsidRPr="009B39EC" w:rsidRDefault="006E0ED4" w:rsidP="00E50B1D">
      <w:pPr>
        <w:spacing w:after="0" w:line="240" w:lineRule="auto"/>
        <w:rPr>
          <w:rFonts w:ascii="Arial" w:hAnsi="Arial" w:cs="Arial"/>
          <w:sz w:val="20"/>
          <w:szCs w:val="20"/>
          <w:lang w:val="en-GB"/>
        </w:rPr>
      </w:pPr>
    </w:p>
    <w:p w14:paraId="1D678090" w14:textId="05198F14" w:rsidR="006E0ED4" w:rsidRPr="009B39EC" w:rsidRDefault="006E0ED4" w:rsidP="00E50B1D">
      <w:pPr>
        <w:spacing w:after="0" w:line="240" w:lineRule="auto"/>
        <w:rPr>
          <w:rFonts w:ascii="Arial" w:hAnsi="Arial" w:cs="Arial"/>
          <w:sz w:val="20"/>
          <w:szCs w:val="20"/>
          <w:lang w:val="en-GB"/>
        </w:rPr>
      </w:pPr>
    </w:p>
    <w:p w14:paraId="4092A6DE" w14:textId="77777777" w:rsidR="00A40CB4" w:rsidRPr="009B39EC" w:rsidRDefault="00A40CB4" w:rsidP="00E50B1D">
      <w:pPr>
        <w:spacing w:after="0" w:line="240" w:lineRule="auto"/>
        <w:rPr>
          <w:rFonts w:ascii="Arial" w:hAnsi="Arial" w:cs="Arial"/>
          <w:sz w:val="20"/>
          <w:szCs w:val="20"/>
          <w:lang w:val="en-GB"/>
        </w:rPr>
      </w:pPr>
    </w:p>
    <w:p w14:paraId="0CF501AC" w14:textId="5DF4AE12" w:rsidR="006E0ED4" w:rsidRPr="009B39EC" w:rsidRDefault="002752F6" w:rsidP="009B5E73">
      <w:pPr>
        <w:pStyle w:val="Heading2"/>
        <w:jc w:val="both"/>
        <w:rPr>
          <w:rFonts w:ascii="Arial" w:hAnsi="Arial" w:cs="Arial"/>
          <w:i w:val="0"/>
          <w:iCs w:val="0"/>
          <w:color w:val="4472C4" w:themeColor="accent1"/>
          <w:sz w:val="20"/>
          <w:szCs w:val="20"/>
          <w:lang w:val="en-GB"/>
        </w:rPr>
      </w:pPr>
      <w:bookmarkStart w:id="10" w:name="_Toc75851664"/>
      <w:r w:rsidRPr="009B39EC">
        <w:rPr>
          <w:rFonts w:ascii="Arial" w:hAnsi="Arial" w:cs="Arial"/>
          <w:i w:val="0"/>
          <w:iCs w:val="0"/>
          <w:color w:val="4472C4" w:themeColor="accent1"/>
          <w:sz w:val="20"/>
          <w:szCs w:val="20"/>
          <w:lang w:val="en-GB"/>
        </w:rPr>
        <w:t>ANNEX</w:t>
      </w:r>
      <w:r w:rsidR="00A33F2E" w:rsidRPr="009B39EC">
        <w:rPr>
          <w:rFonts w:ascii="Arial" w:hAnsi="Arial" w:cs="Arial"/>
          <w:i w:val="0"/>
          <w:iCs w:val="0"/>
          <w:color w:val="4472C4" w:themeColor="accent1"/>
          <w:sz w:val="20"/>
          <w:szCs w:val="20"/>
          <w:lang w:val="en-GB"/>
        </w:rPr>
        <w:t xml:space="preserve"> 7. </w:t>
      </w:r>
      <w:r w:rsidR="007E17D3" w:rsidRPr="009B39EC">
        <w:rPr>
          <w:rFonts w:ascii="Arial" w:hAnsi="Arial" w:cs="Arial"/>
          <w:i w:val="0"/>
          <w:iCs w:val="0"/>
          <w:color w:val="4472C4" w:themeColor="accent1"/>
          <w:sz w:val="20"/>
          <w:szCs w:val="20"/>
          <w:lang w:val="en-GB"/>
        </w:rPr>
        <w:t>TRAINING</w:t>
      </w:r>
      <w:r w:rsidR="00210B1B" w:rsidRPr="009B39EC">
        <w:rPr>
          <w:rFonts w:ascii="Arial" w:hAnsi="Arial" w:cs="Arial"/>
          <w:i w:val="0"/>
          <w:iCs w:val="0"/>
          <w:color w:val="4472C4" w:themeColor="accent1"/>
          <w:sz w:val="20"/>
          <w:szCs w:val="20"/>
          <w:lang w:val="en-GB"/>
        </w:rPr>
        <w:t xml:space="preserve"> MODULES OFFERED </w:t>
      </w:r>
      <w:r w:rsidR="007E17D3" w:rsidRPr="009B39EC">
        <w:rPr>
          <w:rFonts w:ascii="Arial" w:hAnsi="Arial" w:cs="Arial"/>
          <w:i w:val="0"/>
          <w:iCs w:val="0"/>
          <w:color w:val="4472C4" w:themeColor="accent1"/>
          <w:sz w:val="20"/>
          <w:szCs w:val="20"/>
          <w:lang w:val="en-GB"/>
        </w:rPr>
        <w:t>BY THE ALBANIAN SCHOOL OF PUBLIC ADMINISTRATIO</w:t>
      </w:r>
      <w:r w:rsidR="00177911" w:rsidRPr="009B39EC">
        <w:rPr>
          <w:rFonts w:ascii="Arial" w:hAnsi="Arial" w:cs="Arial"/>
          <w:i w:val="0"/>
          <w:iCs w:val="0"/>
          <w:color w:val="4472C4" w:themeColor="accent1"/>
          <w:sz w:val="20"/>
          <w:szCs w:val="20"/>
          <w:lang w:val="en-GB"/>
        </w:rPr>
        <w:t>N</w:t>
      </w:r>
      <w:r w:rsidR="00A33F2E" w:rsidRPr="009B39EC">
        <w:rPr>
          <w:rFonts w:ascii="Arial" w:hAnsi="Arial" w:cs="Arial"/>
          <w:i w:val="0"/>
          <w:iCs w:val="0"/>
          <w:color w:val="4472C4" w:themeColor="accent1"/>
          <w:sz w:val="20"/>
          <w:szCs w:val="20"/>
          <w:lang w:val="en-GB"/>
        </w:rPr>
        <w:t xml:space="preserve"> (ASPA)</w:t>
      </w:r>
      <w:bookmarkEnd w:id="10"/>
    </w:p>
    <w:p w14:paraId="06C7C88B" w14:textId="39652EC6" w:rsidR="00A33F2E" w:rsidRPr="009B39EC" w:rsidRDefault="00A33F2E" w:rsidP="0053505A">
      <w:pPr>
        <w:pStyle w:val="Heading2"/>
        <w:rPr>
          <w:rFonts w:ascii="Arial" w:hAnsi="Arial" w:cs="Arial"/>
          <w:i w:val="0"/>
          <w:iCs w:val="0"/>
          <w:sz w:val="20"/>
          <w:szCs w:val="20"/>
          <w:lang w:val="en-GB"/>
        </w:rPr>
      </w:pPr>
    </w:p>
    <w:p w14:paraId="27799F06" w14:textId="3698C1D7" w:rsidR="00A33F2E" w:rsidRPr="009B39EC" w:rsidRDefault="00177911"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At the end of </w:t>
      </w:r>
      <w:r w:rsidR="00A33F2E" w:rsidRPr="009B39EC">
        <w:rPr>
          <w:rFonts w:ascii="Arial" w:hAnsi="Arial" w:cs="Arial"/>
          <w:sz w:val="20"/>
          <w:szCs w:val="20"/>
          <w:lang w:val="en-GB"/>
        </w:rPr>
        <w:t xml:space="preserve">2018 ASPA </w:t>
      </w:r>
      <w:r w:rsidRPr="009B39EC">
        <w:rPr>
          <w:rFonts w:ascii="Arial" w:hAnsi="Arial" w:cs="Arial"/>
          <w:sz w:val="20"/>
          <w:szCs w:val="20"/>
          <w:lang w:val="en-GB"/>
        </w:rPr>
        <w:t xml:space="preserve">developed </w:t>
      </w:r>
      <w:r w:rsidR="006E31E8" w:rsidRPr="009B39EC">
        <w:rPr>
          <w:rFonts w:ascii="Arial" w:hAnsi="Arial" w:cs="Arial"/>
          <w:sz w:val="20"/>
          <w:szCs w:val="20"/>
          <w:lang w:val="en-GB"/>
        </w:rPr>
        <w:t>six</w:t>
      </w:r>
      <w:r w:rsidRPr="009B39EC">
        <w:rPr>
          <w:rFonts w:ascii="Arial" w:hAnsi="Arial" w:cs="Arial"/>
          <w:sz w:val="20"/>
          <w:szCs w:val="20"/>
          <w:lang w:val="en-GB"/>
        </w:rPr>
        <w:t xml:space="preserve"> training modules in the areas of gender justice and non-discrimination</w:t>
      </w:r>
      <w:r w:rsidR="00A33F2E" w:rsidRPr="009B39EC">
        <w:rPr>
          <w:rFonts w:ascii="Arial" w:hAnsi="Arial" w:cs="Arial"/>
          <w:sz w:val="20"/>
          <w:szCs w:val="20"/>
          <w:lang w:val="en-GB"/>
        </w:rPr>
        <w:t xml:space="preserve">. </w:t>
      </w:r>
      <w:r w:rsidRPr="009B39EC">
        <w:rPr>
          <w:rFonts w:ascii="Arial" w:hAnsi="Arial" w:cs="Arial"/>
          <w:sz w:val="20"/>
          <w:szCs w:val="20"/>
          <w:lang w:val="en-GB"/>
        </w:rPr>
        <w:t>The objectives of these training modules were</w:t>
      </w:r>
      <w:r w:rsidR="00A33F2E" w:rsidRPr="009B39EC">
        <w:rPr>
          <w:rFonts w:ascii="Arial" w:hAnsi="Arial" w:cs="Arial"/>
          <w:sz w:val="20"/>
          <w:szCs w:val="20"/>
          <w:lang w:val="en-GB"/>
        </w:rPr>
        <w:t xml:space="preserve">: </w:t>
      </w:r>
    </w:p>
    <w:p w14:paraId="6084A9FB" w14:textId="597F3023" w:rsidR="00A33F2E" w:rsidRPr="009B39EC" w:rsidRDefault="006E31E8" w:rsidP="00A33F2E">
      <w:pPr>
        <w:pStyle w:val="ListParagraph"/>
        <w:numPr>
          <w:ilvl w:val="0"/>
          <w:numId w:val="15"/>
        </w:numPr>
        <w:spacing w:after="0" w:line="240" w:lineRule="auto"/>
        <w:jc w:val="both"/>
        <w:rPr>
          <w:rFonts w:ascii="Arial" w:hAnsi="Arial" w:cs="Arial"/>
          <w:sz w:val="20"/>
          <w:szCs w:val="20"/>
          <w:lang w:val="en-GB"/>
        </w:rPr>
      </w:pPr>
      <w:r w:rsidRPr="009B39EC">
        <w:rPr>
          <w:rFonts w:ascii="Arial" w:hAnsi="Arial" w:cs="Arial"/>
          <w:sz w:val="20"/>
          <w:szCs w:val="20"/>
          <w:lang w:val="en-GB"/>
        </w:rPr>
        <w:t>To p</w:t>
      </w:r>
      <w:r w:rsidR="00177911" w:rsidRPr="009B39EC">
        <w:rPr>
          <w:rFonts w:ascii="Arial" w:hAnsi="Arial" w:cs="Arial"/>
          <w:sz w:val="20"/>
          <w:szCs w:val="20"/>
          <w:lang w:val="en-GB"/>
        </w:rPr>
        <w:t xml:space="preserve">rovide participants with knowledge on gender-responsive budgeting (concepts and means) and </w:t>
      </w:r>
      <w:r w:rsidRPr="009B39EC">
        <w:rPr>
          <w:rFonts w:ascii="Arial" w:hAnsi="Arial" w:cs="Arial"/>
          <w:sz w:val="20"/>
          <w:szCs w:val="20"/>
          <w:lang w:val="en-GB"/>
        </w:rPr>
        <w:t xml:space="preserve">raise their awareness on its </w:t>
      </w:r>
      <w:proofErr w:type="gramStart"/>
      <w:r w:rsidRPr="009B39EC">
        <w:rPr>
          <w:rFonts w:ascii="Arial" w:hAnsi="Arial" w:cs="Arial"/>
          <w:sz w:val="20"/>
          <w:szCs w:val="20"/>
          <w:lang w:val="en-GB"/>
        </w:rPr>
        <w:t>importance</w:t>
      </w:r>
      <w:r w:rsidR="00A33F2E" w:rsidRPr="009B39EC">
        <w:rPr>
          <w:rFonts w:ascii="Arial" w:hAnsi="Arial" w:cs="Arial"/>
          <w:sz w:val="20"/>
          <w:szCs w:val="20"/>
          <w:lang w:val="en-GB"/>
        </w:rPr>
        <w:t>;</w:t>
      </w:r>
      <w:proofErr w:type="gramEnd"/>
      <w:r w:rsidR="00A33F2E" w:rsidRPr="009B39EC">
        <w:rPr>
          <w:rFonts w:ascii="Arial" w:hAnsi="Arial" w:cs="Arial"/>
          <w:sz w:val="20"/>
          <w:szCs w:val="20"/>
          <w:lang w:val="en-GB"/>
        </w:rPr>
        <w:t xml:space="preserve"> </w:t>
      </w:r>
    </w:p>
    <w:p w14:paraId="4EA66E0D" w14:textId="43BDDA7E" w:rsidR="00A33F2E" w:rsidRPr="009B39EC" w:rsidRDefault="006E31E8" w:rsidP="00A33F2E">
      <w:pPr>
        <w:pStyle w:val="ListParagraph"/>
        <w:numPr>
          <w:ilvl w:val="0"/>
          <w:numId w:val="15"/>
        </w:num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To equip participants with the necessary skills in order for them to get involved in various stages of gender budgeting for the promotion of gender equality in the </w:t>
      </w:r>
      <w:proofErr w:type="gramStart"/>
      <w:r w:rsidRPr="009B39EC">
        <w:rPr>
          <w:rFonts w:ascii="Arial" w:hAnsi="Arial" w:cs="Arial"/>
          <w:sz w:val="20"/>
          <w:szCs w:val="20"/>
          <w:lang w:val="en-GB"/>
        </w:rPr>
        <w:t>future</w:t>
      </w:r>
      <w:r w:rsidR="00A33F2E" w:rsidRPr="009B39EC">
        <w:rPr>
          <w:rFonts w:ascii="Arial" w:hAnsi="Arial" w:cs="Arial"/>
          <w:sz w:val="20"/>
          <w:szCs w:val="20"/>
          <w:lang w:val="en-GB"/>
        </w:rPr>
        <w:t>;</w:t>
      </w:r>
      <w:proofErr w:type="gramEnd"/>
      <w:r w:rsidR="00A33F2E" w:rsidRPr="009B39EC">
        <w:rPr>
          <w:rFonts w:ascii="Arial" w:hAnsi="Arial" w:cs="Arial"/>
          <w:sz w:val="20"/>
          <w:szCs w:val="20"/>
          <w:lang w:val="en-GB"/>
        </w:rPr>
        <w:t xml:space="preserve"> </w:t>
      </w:r>
    </w:p>
    <w:p w14:paraId="55678C11" w14:textId="46BA5560" w:rsidR="00A33F2E" w:rsidRPr="009B39EC" w:rsidRDefault="006E31E8" w:rsidP="00A33F2E">
      <w:pPr>
        <w:pStyle w:val="ListParagraph"/>
        <w:numPr>
          <w:ilvl w:val="0"/>
          <w:numId w:val="15"/>
        </w:num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To contribute </w:t>
      </w:r>
      <w:r w:rsidR="00264A56" w:rsidRPr="009B39EC">
        <w:rPr>
          <w:rFonts w:ascii="Arial" w:hAnsi="Arial" w:cs="Arial"/>
          <w:sz w:val="20"/>
          <w:szCs w:val="20"/>
          <w:lang w:val="en-GB"/>
        </w:rPr>
        <w:t>to developing</w:t>
      </w:r>
      <w:r w:rsidRPr="009B39EC">
        <w:rPr>
          <w:rFonts w:ascii="Arial" w:hAnsi="Arial" w:cs="Arial"/>
          <w:sz w:val="20"/>
          <w:szCs w:val="20"/>
          <w:lang w:val="en-GB"/>
        </w:rPr>
        <w:t xml:space="preserve"> positive and supportive approaches and attitudes towards gender responsive budgeting, both at the level of the individual and at an institutional </w:t>
      </w:r>
      <w:proofErr w:type="gramStart"/>
      <w:r w:rsidRPr="009B39EC">
        <w:rPr>
          <w:rFonts w:ascii="Arial" w:hAnsi="Arial" w:cs="Arial"/>
          <w:sz w:val="20"/>
          <w:szCs w:val="20"/>
          <w:lang w:val="en-GB"/>
        </w:rPr>
        <w:t>level</w:t>
      </w:r>
      <w:r w:rsidR="00A33F2E" w:rsidRPr="009B39EC">
        <w:rPr>
          <w:rFonts w:ascii="Arial" w:hAnsi="Arial" w:cs="Arial"/>
          <w:sz w:val="20"/>
          <w:szCs w:val="20"/>
          <w:lang w:val="en-GB"/>
        </w:rPr>
        <w:t>;</w:t>
      </w:r>
      <w:proofErr w:type="gramEnd"/>
      <w:r w:rsidR="00A33F2E" w:rsidRPr="009B39EC">
        <w:rPr>
          <w:rFonts w:ascii="Arial" w:hAnsi="Arial" w:cs="Arial"/>
          <w:sz w:val="20"/>
          <w:szCs w:val="20"/>
          <w:lang w:val="en-GB"/>
        </w:rPr>
        <w:t xml:space="preserve"> </w:t>
      </w:r>
    </w:p>
    <w:p w14:paraId="3001C7A4" w14:textId="4ED05C4E" w:rsidR="00A33F2E" w:rsidRPr="009B39EC" w:rsidRDefault="006E31E8" w:rsidP="00A33F2E">
      <w:pPr>
        <w:pStyle w:val="ListParagraph"/>
        <w:numPr>
          <w:ilvl w:val="0"/>
          <w:numId w:val="15"/>
        </w:num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To improve understanding in relation to discrimination in the Public </w:t>
      </w:r>
      <w:proofErr w:type="gramStart"/>
      <w:r w:rsidRPr="009B39EC">
        <w:rPr>
          <w:rFonts w:ascii="Arial" w:hAnsi="Arial" w:cs="Arial"/>
          <w:sz w:val="20"/>
          <w:szCs w:val="20"/>
          <w:lang w:val="en-GB"/>
        </w:rPr>
        <w:t>Administration</w:t>
      </w:r>
      <w:r w:rsidR="00A33F2E" w:rsidRPr="009B39EC">
        <w:rPr>
          <w:rFonts w:ascii="Arial" w:hAnsi="Arial" w:cs="Arial"/>
          <w:sz w:val="20"/>
          <w:szCs w:val="20"/>
          <w:lang w:val="en-GB"/>
        </w:rPr>
        <w:t>;</w:t>
      </w:r>
      <w:proofErr w:type="gramEnd"/>
      <w:r w:rsidR="00A33F2E" w:rsidRPr="009B39EC">
        <w:rPr>
          <w:rFonts w:ascii="Arial" w:hAnsi="Arial" w:cs="Arial"/>
          <w:sz w:val="20"/>
          <w:szCs w:val="20"/>
          <w:lang w:val="en-GB"/>
        </w:rPr>
        <w:t xml:space="preserve"> </w:t>
      </w:r>
    </w:p>
    <w:p w14:paraId="33773C06" w14:textId="65ADEA18" w:rsidR="00A33F2E" w:rsidRPr="009B39EC" w:rsidRDefault="00A33F2E" w:rsidP="00A33F2E">
      <w:pPr>
        <w:pStyle w:val="ListParagraph"/>
        <w:numPr>
          <w:ilvl w:val="0"/>
          <w:numId w:val="15"/>
        </w:numPr>
        <w:spacing w:after="0" w:line="240" w:lineRule="auto"/>
        <w:jc w:val="both"/>
        <w:rPr>
          <w:rFonts w:ascii="Arial" w:hAnsi="Arial" w:cs="Arial"/>
          <w:sz w:val="20"/>
          <w:szCs w:val="20"/>
          <w:lang w:val="en-GB"/>
        </w:rPr>
      </w:pPr>
      <w:r w:rsidRPr="009B39EC">
        <w:rPr>
          <w:rFonts w:ascii="Arial" w:hAnsi="Arial" w:cs="Arial"/>
          <w:sz w:val="20"/>
          <w:szCs w:val="20"/>
          <w:lang w:val="en-GB"/>
        </w:rPr>
        <w:t>T</w:t>
      </w:r>
      <w:r w:rsidR="006E31E8" w:rsidRPr="009B39EC">
        <w:rPr>
          <w:rFonts w:ascii="Arial" w:hAnsi="Arial" w:cs="Arial"/>
          <w:sz w:val="20"/>
          <w:szCs w:val="20"/>
          <w:lang w:val="en-GB"/>
        </w:rPr>
        <w:t xml:space="preserve">o raise the awareness of the participants in relation to the equal treatment of all individuals </w:t>
      </w:r>
      <w:proofErr w:type="gramStart"/>
      <w:r w:rsidR="006E31E8" w:rsidRPr="009B39EC">
        <w:rPr>
          <w:rFonts w:ascii="Arial" w:hAnsi="Arial" w:cs="Arial"/>
          <w:sz w:val="20"/>
          <w:szCs w:val="20"/>
          <w:lang w:val="en-GB"/>
        </w:rPr>
        <w:t>in the course of</w:t>
      </w:r>
      <w:proofErr w:type="gramEnd"/>
      <w:r w:rsidR="006E31E8" w:rsidRPr="009B39EC">
        <w:rPr>
          <w:rFonts w:ascii="Arial" w:hAnsi="Arial" w:cs="Arial"/>
          <w:sz w:val="20"/>
          <w:szCs w:val="20"/>
          <w:lang w:val="en-GB"/>
        </w:rPr>
        <w:t xml:space="preserve"> discharging their functions, etc</w:t>
      </w:r>
      <w:r w:rsidRPr="009B39EC">
        <w:rPr>
          <w:rFonts w:ascii="Arial" w:hAnsi="Arial" w:cs="Arial"/>
          <w:sz w:val="20"/>
          <w:szCs w:val="20"/>
          <w:lang w:val="en-GB"/>
        </w:rPr>
        <w:t>.</w:t>
      </w:r>
    </w:p>
    <w:p w14:paraId="32E05D6A" w14:textId="77777777" w:rsidR="006E31E8" w:rsidRPr="009B39EC" w:rsidRDefault="006E31E8" w:rsidP="00A33F2E">
      <w:pPr>
        <w:spacing w:after="0" w:line="240" w:lineRule="auto"/>
        <w:jc w:val="both"/>
        <w:rPr>
          <w:rFonts w:ascii="Arial" w:hAnsi="Arial" w:cs="Arial"/>
          <w:sz w:val="20"/>
          <w:szCs w:val="20"/>
          <w:lang w:val="en-GB"/>
        </w:rPr>
      </w:pPr>
    </w:p>
    <w:p w14:paraId="4719AE01" w14:textId="6DADC1BC" w:rsidR="00A33F2E" w:rsidRPr="009B39EC" w:rsidRDefault="006E31E8"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More specifically, the following modules were developed</w:t>
      </w:r>
      <w:r w:rsidR="00A33F2E" w:rsidRPr="009B39EC">
        <w:rPr>
          <w:rFonts w:ascii="Arial" w:hAnsi="Arial" w:cs="Arial"/>
          <w:sz w:val="20"/>
          <w:szCs w:val="20"/>
          <w:lang w:val="en-GB"/>
        </w:rPr>
        <w:t>:</w:t>
      </w:r>
    </w:p>
    <w:p w14:paraId="755C1526" w14:textId="77777777" w:rsidR="006E31E8" w:rsidRPr="009B39EC" w:rsidRDefault="006E31E8" w:rsidP="00A33F2E">
      <w:pPr>
        <w:spacing w:after="0" w:line="240" w:lineRule="auto"/>
        <w:jc w:val="both"/>
        <w:rPr>
          <w:rFonts w:ascii="Arial" w:hAnsi="Arial" w:cs="Arial"/>
          <w:sz w:val="20"/>
          <w:szCs w:val="20"/>
          <w:lang w:val="en-GB"/>
        </w:rPr>
      </w:pPr>
    </w:p>
    <w:p w14:paraId="76EBE061" w14:textId="37D61F26" w:rsidR="00A33F2E" w:rsidRPr="009B39EC" w:rsidRDefault="0045338E"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The training module</w:t>
      </w:r>
      <w:r w:rsidR="00A33F2E" w:rsidRPr="009B39EC">
        <w:rPr>
          <w:rFonts w:ascii="Arial" w:hAnsi="Arial" w:cs="Arial"/>
          <w:sz w:val="20"/>
          <w:szCs w:val="20"/>
          <w:lang w:val="en-GB"/>
        </w:rPr>
        <w:t xml:space="preserve"> “</w:t>
      </w:r>
      <w:r w:rsidR="006E31E8" w:rsidRPr="009B39EC">
        <w:rPr>
          <w:rFonts w:ascii="Arial" w:hAnsi="Arial" w:cs="Arial"/>
          <w:sz w:val="20"/>
          <w:szCs w:val="20"/>
          <w:lang w:val="en-GB"/>
        </w:rPr>
        <w:t>Gender analysis and gender mainstreaming in the Public Administration</w:t>
      </w:r>
      <w:r w:rsidR="00A33F2E" w:rsidRPr="009B39EC">
        <w:rPr>
          <w:rFonts w:ascii="Arial" w:hAnsi="Arial" w:cs="Arial"/>
          <w:sz w:val="20"/>
          <w:szCs w:val="20"/>
          <w:lang w:val="en-GB"/>
        </w:rPr>
        <w:t xml:space="preserve">” </w:t>
      </w:r>
      <w:r w:rsidR="006E31E8" w:rsidRPr="009B39EC">
        <w:rPr>
          <w:rFonts w:ascii="Arial" w:hAnsi="Arial" w:cs="Arial"/>
          <w:sz w:val="20"/>
          <w:szCs w:val="20"/>
          <w:lang w:val="en-GB"/>
        </w:rPr>
        <w:t>is offered to all employees in the Public Administration</w:t>
      </w:r>
      <w:r w:rsidR="00A33F2E" w:rsidRPr="009B39EC">
        <w:rPr>
          <w:rFonts w:ascii="Arial" w:hAnsi="Arial" w:cs="Arial"/>
          <w:sz w:val="20"/>
          <w:szCs w:val="20"/>
          <w:lang w:val="en-GB"/>
        </w:rPr>
        <w:t xml:space="preserve">, </w:t>
      </w:r>
      <w:r w:rsidR="006E31E8" w:rsidRPr="009B39EC">
        <w:rPr>
          <w:rFonts w:ascii="Arial" w:hAnsi="Arial" w:cs="Arial"/>
          <w:sz w:val="20"/>
          <w:szCs w:val="20"/>
          <w:lang w:val="en-GB"/>
        </w:rPr>
        <w:t>irrespective of the positions they hold</w:t>
      </w:r>
      <w:r w:rsidR="00BB24EE" w:rsidRPr="009B39EC">
        <w:rPr>
          <w:rFonts w:ascii="Arial" w:hAnsi="Arial" w:cs="Arial"/>
          <w:sz w:val="20"/>
          <w:szCs w:val="20"/>
          <w:lang w:val="en-GB"/>
        </w:rPr>
        <w:t xml:space="preserve">. Prior knowledge of gender concepts and issues is not a prerequisite </w:t>
      </w:r>
      <w:r w:rsidR="00E5561E" w:rsidRPr="009B39EC">
        <w:rPr>
          <w:rFonts w:ascii="Arial" w:hAnsi="Arial" w:cs="Arial"/>
          <w:sz w:val="20"/>
          <w:szCs w:val="20"/>
          <w:lang w:val="en-GB"/>
        </w:rPr>
        <w:t>for</w:t>
      </w:r>
      <w:r w:rsidR="00BB24EE" w:rsidRPr="009B39EC">
        <w:rPr>
          <w:rFonts w:ascii="Arial" w:hAnsi="Arial" w:cs="Arial"/>
          <w:sz w:val="20"/>
          <w:szCs w:val="20"/>
          <w:lang w:val="en-GB"/>
        </w:rPr>
        <w:t xml:space="preserve"> participation. </w:t>
      </w:r>
      <w:r w:rsidRPr="009B39EC">
        <w:rPr>
          <w:rFonts w:ascii="Arial" w:hAnsi="Arial" w:cs="Arial"/>
          <w:sz w:val="20"/>
          <w:szCs w:val="20"/>
          <w:lang w:val="en-GB"/>
        </w:rPr>
        <w:t>Th</w:t>
      </w:r>
      <w:r w:rsidR="00C32490" w:rsidRPr="009B39EC">
        <w:rPr>
          <w:rFonts w:ascii="Arial" w:hAnsi="Arial" w:cs="Arial"/>
          <w:sz w:val="20"/>
          <w:szCs w:val="20"/>
          <w:lang w:val="en-GB"/>
        </w:rPr>
        <w:t>is is a two-day (12-hour) training module</w:t>
      </w:r>
      <w:r w:rsidR="00A33F2E" w:rsidRPr="009B39EC">
        <w:rPr>
          <w:rFonts w:ascii="Arial" w:hAnsi="Arial" w:cs="Arial"/>
          <w:sz w:val="20"/>
          <w:szCs w:val="20"/>
          <w:lang w:val="en-GB"/>
        </w:rPr>
        <w:t xml:space="preserve">. </w:t>
      </w:r>
    </w:p>
    <w:p w14:paraId="1F2484E0" w14:textId="77777777" w:rsidR="0045338E" w:rsidRPr="009B39EC" w:rsidRDefault="0045338E" w:rsidP="00A33F2E">
      <w:pPr>
        <w:spacing w:after="0" w:line="240" w:lineRule="auto"/>
        <w:jc w:val="both"/>
        <w:rPr>
          <w:rFonts w:ascii="Arial" w:hAnsi="Arial" w:cs="Arial"/>
          <w:sz w:val="20"/>
          <w:szCs w:val="20"/>
          <w:lang w:val="en-GB"/>
        </w:rPr>
      </w:pPr>
    </w:p>
    <w:p w14:paraId="79C03732" w14:textId="02EA4854" w:rsidR="00A33F2E" w:rsidRPr="009B39EC" w:rsidRDefault="0045338E"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The training module </w:t>
      </w:r>
      <w:r w:rsidR="00A33F2E" w:rsidRPr="009B39EC">
        <w:rPr>
          <w:rFonts w:ascii="Arial" w:hAnsi="Arial" w:cs="Arial"/>
          <w:sz w:val="20"/>
          <w:szCs w:val="20"/>
          <w:lang w:val="en-GB"/>
        </w:rPr>
        <w:t>“</w:t>
      </w:r>
      <w:r w:rsidRPr="009B39EC">
        <w:rPr>
          <w:rFonts w:ascii="Arial" w:hAnsi="Arial" w:cs="Arial"/>
          <w:sz w:val="20"/>
          <w:szCs w:val="20"/>
          <w:lang w:val="en-GB"/>
        </w:rPr>
        <w:t>Gender equality in the provision of services by the Public Administration” is offered to all specialist-level civil servants in charge of providing services to citizens, with the aim of changing some aspects of their behaviours, perceptions, and attitudes regarding gender issues</w:t>
      </w:r>
      <w:r w:rsidR="00A33F2E" w:rsidRPr="009B39EC">
        <w:rPr>
          <w:rFonts w:ascii="Arial" w:hAnsi="Arial" w:cs="Arial"/>
          <w:sz w:val="20"/>
          <w:szCs w:val="20"/>
          <w:lang w:val="en-GB"/>
        </w:rPr>
        <w:t xml:space="preserve">. </w:t>
      </w:r>
      <w:r w:rsidRPr="009B39EC">
        <w:rPr>
          <w:rFonts w:ascii="Arial" w:hAnsi="Arial" w:cs="Arial"/>
          <w:sz w:val="20"/>
          <w:szCs w:val="20"/>
          <w:lang w:val="en-GB"/>
        </w:rPr>
        <w:t xml:space="preserve">This is a </w:t>
      </w:r>
      <w:r w:rsidR="00264A56" w:rsidRPr="009B39EC">
        <w:rPr>
          <w:rFonts w:ascii="Arial" w:hAnsi="Arial" w:cs="Arial"/>
          <w:sz w:val="20"/>
          <w:szCs w:val="20"/>
          <w:lang w:val="en-GB"/>
        </w:rPr>
        <w:t>one-day</w:t>
      </w:r>
      <w:r w:rsidRPr="009B39EC">
        <w:rPr>
          <w:rFonts w:ascii="Arial" w:hAnsi="Arial" w:cs="Arial"/>
          <w:sz w:val="20"/>
          <w:szCs w:val="20"/>
          <w:lang w:val="en-GB"/>
        </w:rPr>
        <w:t xml:space="preserve"> </w:t>
      </w:r>
      <w:r w:rsidR="00C32490" w:rsidRPr="009B39EC">
        <w:rPr>
          <w:rFonts w:ascii="Arial" w:hAnsi="Arial" w:cs="Arial"/>
          <w:sz w:val="20"/>
          <w:szCs w:val="20"/>
          <w:lang w:val="en-GB"/>
        </w:rPr>
        <w:t xml:space="preserve">(6-hour) </w:t>
      </w:r>
      <w:r w:rsidRPr="009B39EC">
        <w:rPr>
          <w:rFonts w:ascii="Arial" w:hAnsi="Arial" w:cs="Arial"/>
          <w:sz w:val="20"/>
          <w:szCs w:val="20"/>
          <w:lang w:val="en-GB"/>
        </w:rPr>
        <w:t>training module</w:t>
      </w:r>
      <w:r w:rsidR="00A33F2E" w:rsidRPr="009B39EC">
        <w:rPr>
          <w:rFonts w:ascii="Arial" w:hAnsi="Arial" w:cs="Arial"/>
          <w:sz w:val="20"/>
          <w:szCs w:val="20"/>
          <w:lang w:val="en-GB"/>
        </w:rPr>
        <w:t xml:space="preserve">. </w:t>
      </w:r>
      <w:r w:rsidRPr="009B39EC">
        <w:rPr>
          <w:rFonts w:ascii="Arial" w:hAnsi="Arial" w:cs="Arial"/>
          <w:sz w:val="20"/>
          <w:szCs w:val="20"/>
          <w:lang w:val="en-GB"/>
        </w:rPr>
        <w:t>No prior knowledge in th</w:t>
      </w:r>
      <w:r w:rsidR="00C32490" w:rsidRPr="009B39EC">
        <w:rPr>
          <w:rFonts w:ascii="Arial" w:hAnsi="Arial" w:cs="Arial"/>
          <w:sz w:val="20"/>
          <w:szCs w:val="20"/>
          <w:lang w:val="en-GB"/>
        </w:rPr>
        <w:t>e field</w:t>
      </w:r>
      <w:r w:rsidRPr="009B39EC">
        <w:rPr>
          <w:rFonts w:ascii="Arial" w:hAnsi="Arial" w:cs="Arial"/>
          <w:sz w:val="20"/>
          <w:szCs w:val="20"/>
          <w:lang w:val="en-GB"/>
        </w:rPr>
        <w:t xml:space="preserve"> is required</w:t>
      </w:r>
      <w:r w:rsidR="00A33F2E" w:rsidRPr="009B39EC">
        <w:rPr>
          <w:rFonts w:ascii="Arial" w:hAnsi="Arial" w:cs="Arial"/>
          <w:sz w:val="20"/>
          <w:szCs w:val="20"/>
          <w:lang w:val="en-GB"/>
        </w:rPr>
        <w:t>.</w:t>
      </w:r>
    </w:p>
    <w:p w14:paraId="22C09824" w14:textId="77777777" w:rsidR="00C32490" w:rsidRPr="009B39EC" w:rsidRDefault="00C32490" w:rsidP="00A33F2E">
      <w:pPr>
        <w:spacing w:after="0" w:line="240" w:lineRule="auto"/>
        <w:jc w:val="both"/>
        <w:rPr>
          <w:rFonts w:ascii="Arial" w:hAnsi="Arial" w:cs="Arial"/>
          <w:sz w:val="20"/>
          <w:szCs w:val="20"/>
          <w:lang w:val="en-GB"/>
        </w:rPr>
      </w:pPr>
    </w:p>
    <w:p w14:paraId="0543433A" w14:textId="4B20814C" w:rsidR="00A33F2E" w:rsidRPr="009B39EC" w:rsidRDefault="00C32490"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The training module</w:t>
      </w:r>
      <w:r w:rsidR="00A33F2E" w:rsidRPr="009B39EC">
        <w:rPr>
          <w:rFonts w:ascii="Arial" w:hAnsi="Arial" w:cs="Arial"/>
          <w:sz w:val="20"/>
          <w:szCs w:val="20"/>
          <w:lang w:val="en-GB"/>
        </w:rPr>
        <w:t xml:space="preserve"> “Dis</w:t>
      </w:r>
      <w:r w:rsidRPr="009B39EC">
        <w:rPr>
          <w:rFonts w:ascii="Arial" w:hAnsi="Arial" w:cs="Arial"/>
          <w:sz w:val="20"/>
          <w:szCs w:val="20"/>
          <w:lang w:val="en-GB"/>
        </w:rPr>
        <w:t>crimination and the burden of proof in the Public Administration</w:t>
      </w:r>
      <w:r w:rsidR="00A33F2E" w:rsidRPr="009B39EC">
        <w:rPr>
          <w:rFonts w:ascii="Arial" w:hAnsi="Arial" w:cs="Arial"/>
          <w:sz w:val="20"/>
          <w:szCs w:val="20"/>
          <w:lang w:val="en-GB"/>
        </w:rPr>
        <w:t xml:space="preserve">” </w:t>
      </w:r>
      <w:r w:rsidRPr="009B39EC">
        <w:rPr>
          <w:rFonts w:ascii="Arial" w:hAnsi="Arial" w:cs="Arial"/>
          <w:sz w:val="20"/>
          <w:szCs w:val="20"/>
          <w:lang w:val="en-GB"/>
        </w:rPr>
        <w:t>is offered to all civil servants and employees, irrespective of their status in the PA, with a view to familiarising them with the concepts and types of discrimination on the one hand and the administrative burden of proof in cases of discrimination</w:t>
      </w:r>
      <w:r w:rsidR="00A33F2E" w:rsidRPr="009B39EC">
        <w:rPr>
          <w:rFonts w:ascii="Arial" w:hAnsi="Arial" w:cs="Arial"/>
          <w:sz w:val="20"/>
          <w:szCs w:val="20"/>
          <w:lang w:val="en-GB"/>
        </w:rPr>
        <w:t xml:space="preserve">. </w:t>
      </w:r>
      <w:r w:rsidRPr="009B39EC">
        <w:rPr>
          <w:rFonts w:ascii="Arial" w:hAnsi="Arial" w:cs="Arial"/>
          <w:sz w:val="20"/>
          <w:szCs w:val="20"/>
          <w:lang w:val="en-GB"/>
        </w:rPr>
        <w:t>This is a one-day (6-hour) training module</w:t>
      </w:r>
      <w:r w:rsidR="00A33F2E" w:rsidRPr="009B39EC">
        <w:rPr>
          <w:rFonts w:ascii="Arial" w:hAnsi="Arial" w:cs="Arial"/>
          <w:sz w:val="20"/>
          <w:szCs w:val="20"/>
          <w:lang w:val="en-GB"/>
        </w:rPr>
        <w:t xml:space="preserve">. </w:t>
      </w:r>
    </w:p>
    <w:p w14:paraId="797BC566" w14:textId="77777777" w:rsidR="00C32490" w:rsidRPr="009B39EC" w:rsidRDefault="00C32490" w:rsidP="00A33F2E">
      <w:pPr>
        <w:spacing w:after="0" w:line="240" w:lineRule="auto"/>
        <w:jc w:val="both"/>
        <w:rPr>
          <w:rFonts w:ascii="Arial" w:hAnsi="Arial" w:cs="Arial"/>
          <w:sz w:val="20"/>
          <w:szCs w:val="20"/>
          <w:lang w:val="en-GB"/>
        </w:rPr>
      </w:pPr>
    </w:p>
    <w:p w14:paraId="5FFB70D5" w14:textId="1426C910" w:rsidR="00A33F2E" w:rsidRPr="009B39EC" w:rsidRDefault="00264A56"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The training module “Gender equality in decision-making: gender quotas” is offered to all civil servants in the Public Administration or as a special training course for employees of the election administration. </w:t>
      </w:r>
      <w:r w:rsidR="00C32490" w:rsidRPr="009B39EC">
        <w:rPr>
          <w:rFonts w:ascii="Arial" w:hAnsi="Arial" w:cs="Arial"/>
          <w:sz w:val="20"/>
          <w:szCs w:val="20"/>
          <w:lang w:val="en-GB"/>
        </w:rPr>
        <w:t>This is a one-day (6-hour) training module</w:t>
      </w:r>
      <w:r w:rsidR="00A33F2E" w:rsidRPr="009B39EC">
        <w:rPr>
          <w:rFonts w:ascii="Arial" w:hAnsi="Arial" w:cs="Arial"/>
          <w:sz w:val="20"/>
          <w:szCs w:val="20"/>
          <w:lang w:val="en-GB"/>
        </w:rPr>
        <w:t xml:space="preserve">. </w:t>
      </w:r>
    </w:p>
    <w:p w14:paraId="4979DFE5" w14:textId="77777777" w:rsidR="00C32490" w:rsidRPr="009B39EC" w:rsidRDefault="00C32490" w:rsidP="00A33F2E">
      <w:pPr>
        <w:spacing w:after="0" w:line="240" w:lineRule="auto"/>
        <w:jc w:val="both"/>
        <w:rPr>
          <w:rFonts w:ascii="Arial" w:hAnsi="Arial" w:cs="Arial"/>
          <w:sz w:val="20"/>
          <w:szCs w:val="20"/>
          <w:lang w:val="en-GB"/>
        </w:rPr>
      </w:pPr>
    </w:p>
    <w:p w14:paraId="2D01D17E" w14:textId="6953B048" w:rsidR="00A33F2E" w:rsidRPr="009B39EC" w:rsidRDefault="00C32490" w:rsidP="00A342F4">
      <w:pPr>
        <w:spacing w:after="0" w:line="240" w:lineRule="auto"/>
        <w:jc w:val="both"/>
        <w:rPr>
          <w:rFonts w:ascii="Arial" w:hAnsi="Arial" w:cs="Arial"/>
          <w:sz w:val="20"/>
          <w:szCs w:val="20"/>
          <w:lang w:val="en-GB"/>
        </w:rPr>
      </w:pPr>
      <w:r w:rsidRPr="009B39EC">
        <w:rPr>
          <w:rFonts w:ascii="Arial" w:hAnsi="Arial" w:cs="Arial"/>
          <w:sz w:val="20"/>
          <w:szCs w:val="20"/>
          <w:lang w:val="en-GB"/>
        </w:rPr>
        <w:t>The training module</w:t>
      </w:r>
      <w:r w:rsidR="00A33F2E" w:rsidRPr="009B39EC">
        <w:rPr>
          <w:rFonts w:ascii="Arial" w:hAnsi="Arial" w:cs="Arial"/>
          <w:sz w:val="20"/>
          <w:szCs w:val="20"/>
          <w:lang w:val="en-GB"/>
        </w:rPr>
        <w:t xml:space="preserve"> “</w:t>
      </w:r>
      <w:r w:rsidRPr="009B39EC">
        <w:rPr>
          <w:rFonts w:ascii="Arial" w:hAnsi="Arial" w:cs="Arial"/>
          <w:sz w:val="20"/>
          <w:szCs w:val="20"/>
          <w:lang w:val="en-GB"/>
        </w:rPr>
        <w:t>The principle of equality and non-discrimination in the Public Administration</w:t>
      </w:r>
      <w:r w:rsidR="00A33F2E" w:rsidRPr="009B39EC">
        <w:rPr>
          <w:rFonts w:ascii="Arial" w:hAnsi="Arial" w:cs="Arial"/>
          <w:sz w:val="20"/>
          <w:szCs w:val="20"/>
          <w:lang w:val="en-GB"/>
        </w:rPr>
        <w:t xml:space="preserve">” </w:t>
      </w:r>
      <w:r w:rsidR="00A342F4" w:rsidRPr="009B39EC">
        <w:rPr>
          <w:rFonts w:ascii="Arial" w:hAnsi="Arial" w:cs="Arial"/>
          <w:sz w:val="20"/>
          <w:szCs w:val="20"/>
          <w:lang w:val="en-GB"/>
        </w:rPr>
        <w:t>provides the participants with the general concepts which every civil servant must be familiar with in relation to their rights and obligations in the context of the effective application of this principle as well as the legal remedies available in case of discrimination</w:t>
      </w:r>
      <w:r w:rsidR="00A33F2E" w:rsidRPr="009B39EC">
        <w:rPr>
          <w:rFonts w:ascii="Arial" w:hAnsi="Arial" w:cs="Arial"/>
          <w:sz w:val="20"/>
          <w:szCs w:val="20"/>
          <w:lang w:val="en-GB"/>
        </w:rPr>
        <w:t xml:space="preserve">. </w:t>
      </w:r>
      <w:r w:rsidR="00A342F4" w:rsidRPr="009B39EC">
        <w:rPr>
          <w:rFonts w:ascii="Arial" w:hAnsi="Arial" w:cs="Arial"/>
          <w:sz w:val="20"/>
          <w:szCs w:val="20"/>
          <w:lang w:val="en-GB"/>
        </w:rPr>
        <w:t>This is a one-day (6-hour) training module</w:t>
      </w:r>
      <w:r w:rsidR="00A33F2E" w:rsidRPr="009B39EC">
        <w:rPr>
          <w:rFonts w:ascii="Arial" w:hAnsi="Arial" w:cs="Arial"/>
          <w:sz w:val="20"/>
          <w:szCs w:val="20"/>
          <w:lang w:val="en-GB"/>
        </w:rPr>
        <w:t>.</w:t>
      </w:r>
    </w:p>
    <w:p w14:paraId="462C7AE3" w14:textId="77777777" w:rsidR="00A342F4" w:rsidRPr="009B39EC" w:rsidRDefault="00A342F4" w:rsidP="00A33F2E">
      <w:pPr>
        <w:spacing w:after="0" w:line="240" w:lineRule="auto"/>
        <w:jc w:val="both"/>
        <w:rPr>
          <w:rFonts w:ascii="Arial" w:hAnsi="Arial" w:cs="Arial"/>
          <w:sz w:val="20"/>
          <w:szCs w:val="20"/>
          <w:lang w:val="en-GB"/>
        </w:rPr>
      </w:pPr>
    </w:p>
    <w:p w14:paraId="6CD11B7F" w14:textId="50D5482E" w:rsidR="00A33F2E" w:rsidRPr="009B39EC" w:rsidRDefault="00A342F4"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The training module </w:t>
      </w:r>
      <w:r w:rsidR="00A33F2E" w:rsidRPr="009B39EC">
        <w:rPr>
          <w:rFonts w:ascii="Arial" w:hAnsi="Arial" w:cs="Arial"/>
          <w:sz w:val="20"/>
          <w:szCs w:val="20"/>
          <w:lang w:val="en-GB"/>
        </w:rPr>
        <w:t>“</w:t>
      </w:r>
      <w:r w:rsidRPr="009B39EC">
        <w:rPr>
          <w:rFonts w:ascii="Arial" w:hAnsi="Arial" w:cs="Arial"/>
          <w:sz w:val="20"/>
          <w:szCs w:val="20"/>
          <w:lang w:val="en-GB"/>
        </w:rPr>
        <w:t>Gender equality principles and responsive gender budgeting</w:t>
      </w:r>
      <w:r w:rsidR="00A33F2E" w:rsidRPr="009B39EC">
        <w:rPr>
          <w:rFonts w:ascii="Arial" w:hAnsi="Arial" w:cs="Arial"/>
          <w:sz w:val="20"/>
          <w:szCs w:val="20"/>
          <w:lang w:val="en-GB"/>
        </w:rPr>
        <w:t xml:space="preserve">” </w:t>
      </w:r>
      <w:r w:rsidRPr="009B39EC">
        <w:rPr>
          <w:rFonts w:ascii="Arial" w:hAnsi="Arial" w:cs="Arial"/>
          <w:sz w:val="20"/>
          <w:szCs w:val="20"/>
          <w:lang w:val="en-GB"/>
        </w:rPr>
        <w:t>provides participants with the general concepts of gender equality, how to include gender equality in budgeting, techniques of applying gender budgeting in public policy and budget planning</w:t>
      </w:r>
      <w:r w:rsidR="00A33F2E" w:rsidRPr="009B39EC">
        <w:rPr>
          <w:rFonts w:ascii="Arial" w:hAnsi="Arial" w:cs="Arial"/>
          <w:sz w:val="20"/>
          <w:szCs w:val="20"/>
          <w:lang w:val="en-GB"/>
        </w:rPr>
        <w:t xml:space="preserve">. </w:t>
      </w:r>
      <w:r w:rsidRPr="009B39EC">
        <w:rPr>
          <w:rFonts w:ascii="Arial" w:hAnsi="Arial" w:cs="Arial"/>
          <w:sz w:val="20"/>
          <w:szCs w:val="20"/>
          <w:lang w:val="en-GB"/>
        </w:rPr>
        <w:t>This is a two-day (12-hour) training module</w:t>
      </w:r>
      <w:r w:rsidR="00A33F2E" w:rsidRPr="009B39EC">
        <w:rPr>
          <w:rFonts w:ascii="Arial" w:hAnsi="Arial" w:cs="Arial"/>
          <w:sz w:val="20"/>
          <w:szCs w:val="20"/>
          <w:lang w:val="en-GB"/>
        </w:rPr>
        <w:t>.</w:t>
      </w:r>
    </w:p>
    <w:p w14:paraId="0519C128" w14:textId="77777777" w:rsidR="00A342F4" w:rsidRPr="009B39EC" w:rsidRDefault="00A342F4" w:rsidP="00A33F2E">
      <w:pPr>
        <w:spacing w:after="0" w:line="240" w:lineRule="auto"/>
        <w:jc w:val="both"/>
        <w:rPr>
          <w:rFonts w:ascii="Arial" w:hAnsi="Arial" w:cs="Arial"/>
          <w:sz w:val="20"/>
          <w:szCs w:val="20"/>
          <w:lang w:val="en-GB"/>
        </w:rPr>
      </w:pPr>
    </w:p>
    <w:p w14:paraId="788F4EB1" w14:textId="7578C9FE" w:rsidR="00A33F2E" w:rsidRPr="009B39EC" w:rsidRDefault="00A342F4"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In </w:t>
      </w:r>
      <w:r w:rsidR="00A33F2E" w:rsidRPr="009B39EC">
        <w:rPr>
          <w:rFonts w:ascii="Arial" w:hAnsi="Arial" w:cs="Arial"/>
          <w:sz w:val="20"/>
          <w:szCs w:val="20"/>
          <w:lang w:val="en-GB"/>
        </w:rPr>
        <w:t xml:space="preserve">2018 </w:t>
      </w:r>
      <w:r w:rsidRPr="009B39EC">
        <w:rPr>
          <w:rFonts w:ascii="Arial" w:hAnsi="Arial" w:cs="Arial"/>
          <w:sz w:val="20"/>
          <w:szCs w:val="20"/>
          <w:lang w:val="en-GB"/>
        </w:rPr>
        <w:t xml:space="preserve">a </w:t>
      </w:r>
      <w:r w:rsidR="00796217" w:rsidRPr="009B39EC">
        <w:rPr>
          <w:rFonts w:ascii="Arial" w:hAnsi="Arial" w:cs="Arial"/>
          <w:sz w:val="20"/>
          <w:szCs w:val="20"/>
          <w:lang w:val="en-GB"/>
        </w:rPr>
        <w:t xml:space="preserve">group training </w:t>
      </w:r>
      <w:r w:rsidRPr="009B39EC">
        <w:rPr>
          <w:rFonts w:ascii="Arial" w:hAnsi="Arial" w:cs="Arial"/>
          <w:sz w:val="20"/>
          <w:szCs w:val="20"/>
          <w:lang w:val="en-GB"/>
        </w:rPr>
        <w:t xml:space="preserve">on </w:t>
      </w:r>
      <w:r w:rsidR="00A33F2E" w:rsidRPr="009B39EC">
        <w:rPr>
          <w:rFonts w:ascii="Arial" w:hAnsi="Arial" w:cs="Arial"/>
          <w:sz w:val="20"/>
          <w:szCs w:val="20"/>
          <w:lang w:val="en-GB"/>
        </w:rPr>
        <w:t>“</w:t>
      </w:r>
      <w:r w:rsidRPr="009B39EC">
        <w:rPr>
          <w:rFonts w:ascii="Arial" w:hAnsi="Arial" w:cs="Arial"/>
          <w:sz w:val="20"/>
          <w:szCs w:val="20"/>
          <w:lang w:val="en-GB"/>
        </w:rPr>
        <w:t>Gender equality and gender-responsive budgeting</w:t>
      </w:r>
      <w:r w:rsidR="00A33F2E" w:rsidRPr="009B39EC">
        <w:rPr>
          <w:rFonts w:ascii="Arial" w:hAnsi="Arial" w:cs="Arial"/>
          <w:sz w:val="20"/>
          <w:szCs w:val="20"/>
          <w:lang w:val="en-GB"/>
        </w:rPr>
        <w:t xml:space="preserve">” </w:t>
      </w:r>
      <w:r w:rsidRPr="009B39EC">
        <w:rPr>
          <w:rFonts w:ascii="Arial" w:hAnsi="Arial" w:cs="Arial"/>
          <w:sz w:val="20"/>
          <w:szCs w:val="20"/>
          <w:lang w:val="en-GB"/>
        </w:rPr>
        <w:t>was held</w:t>
      </w:r>
      <w:r w:rsidR="00210B1B" w:rsidRPr="009B39EC">
        <w:rPr>
          <w:rFonts w:ascii="Arial" w:hAnsi="Arial" w:cs="Arial"/>
          <w:sz w:val="20"/>
          <w:szCs w:val="20"/>
          <w:lang w:val="en-GB"/>
        </w:rPr>
        <w:t>,</w:t>
      </w:r>
      <w:r w:rsidRPr="009B39EC">
        <w:rPr>
          <w:rFonts w:ascii="Arial" w:hAnsi="Arial" w:cs="Arial"/>
          <w:sz w:val="20"/>
          <w:szCs w:val="20"/>
          <w:lang w:val="en-GB"/>
        </w:rPr>
        <w:t xml:space="preserve"> with the support of </w:t>
      </w:r>
      <w:r w:rsidR="00210B1B" w:rsidRPr="009B39EC">
        <w:rPr>
          <w:rFonts w:ascii="Arial" w:hAnsi="Arial" w:cs="Arial"/>
          <w:sz w:val="20"/>
          <w:szCs w:val="20"/>
          <w:lang w:val="en-GB"/>
        </w:rPr>
        <w:t>a</w:t>
      </w:r>
      <w:r w:rsidR="003E2117" w:rsidRPr="009B39EC">
        <w:rPr>
          <w:rFonts w:ascii="Arial" w:hAnsi="Arial" w:cs="Arial"/>
          <w:sz w:val="20"/>
          <w:szCs w:val="20"/>
          <w:lang w:val="en-GB"/>
        </w:rPr>
        <w:t xml:space="preserve"> project implemented by</w:t>
      </w:r>
      <w:r w:rsidRPr="009B39EC">
        <w:rPr>
          <w:rFonts w:ascii="Arial" w:hAnsi="Arial" w:cs="Arial"/>
          <w:sz w:val="20"/>
          <w:szCs w:val="20"/>
          <w:lang w:val="en-GB"/>
        </w:rPr>
        <w:t xml:space="preserve"> UN Women</w:t>
      </w:r>
      <w:r w:rsidR="003E2117" w:rsidRPr="009B39EC">
        <w:rPr>
          <w:rFonts w:ascii="Arial" w:hAnsi="Arial" w:cs="Arial"/>
          <w:sz w:val="20"/>
          <w:szCs w:val="20"/>
          <w:lang w:val="en-GB"/>
        </w:rPr>
        <w:t>.</w:t>
      </w:r>
    </w:p>
    <w:p w14:paraId="4C94AA18" w14:textId="77777777" w:rsidR="00A342F4" w:rsidRPr="009B39EC" w:rsidRDefault="00A342F4" w:rsidP="00A33F2E">
      <w:pPr>
        <w:spacing w:after="0" w:line="240" w:lineRule="auto"/>
        <w:jc w:val="both"/>
        <w:rPr>
          <w:rFonts w:ascii="Arial" w:hAnsi="Arial" w:cs="Arial"/>
          <w:sz w:val="20"/>
          <w:szCs w:val="20"/>
          <w:lang w:val="en-GB"/>
        </w:rPr>
      </w:pPr>
    </w:p>
    <w:p w14:paraId="0B9F81FF" w14:textId="3227EC8A" w:rsidR="00A33F2E" w:rsidRPr="009B39EC" w:rsidRDefault="00A33F2E"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 xml:space="preserve">“Promoting Gender Responsive Policies in </w:t>
      </w:r>
      <w:proofErr w:type="gramStart"/>
      <w:r w:rsidRPr="009B39EC">
        <w:rPr>
          <w:rFonts w:ascii="Arial" w:hAnsi="Arial" w:cs="Arial"/>
          <w:sz w:val="20"/>
          <w:szCs w:val="20"/>
          <w:lang w:val="en-GB"/>
        </w:rPr>
        <w:t>South East</w:t>
      </w:r>
      <w:proofErr w:type="gramEnd"/>
      <w:r w:rsidRPr="009B39EC">
        <w:rPr>
          <w:rFonts w:ascii="Arial" w:hAnsi="Arial" w:cs="Arial"/>
          <w:sz w:val="20"/>
          <w:szCs w:val="20"/>
          <w:lang w:val="en-GB"/>
        </w:rPr>
        <w:t xml:space="preserve"> Europe and Republic of Moldova”</w:t>
      </w:r>
      <w:r w:rsidR="003E2117" w:rsidRPr="009B39EC">
        <w:rPr>
          <w:rFonts w:ascii="Arial" w:hAnsi="Arial" w:cs="Arial"/>
          <w:sz w:val="20"/>
          <w:szCs w:val="20"/>
          <w:lang w:val="en-GB"/>
        </w:rPr>
        <w:t>, funded by the Austrian Development Agency</w:t>
      </w:r>
      <w:r w:rsidRPr="009B39EC">
        <w:rPr>
          <w:rFonts w:ascii="Arial" w:hAnsi="Arial" w:cs="Arial"/>
          <w:sz w:val="20"/>
          <w:szCs w:val="20"/>
          <w:lang w:val="en-GB"/>
        </w:rPr>
        <w:t xml:space="preserve"> (ADA)</w:t>
      </w:r>
      <w:r w:rsidR="003E2117" w:rsidRPr="009B39EC">
        <w:rPr>
          <w:rFonts w:ascii="Arial" w:hAnsi="Arial" w:cs="Arial"/>
          <w:sz w:val="20"/>
          <w:szCs w:val="20"/>
          <w:lang w:val="en-GB"/>
        </w:rPr>
        <w:t xml:space="preserve"> aimed at contributing to the implementation of the commitments made by the central and local authorities in the context of gender equality. The project provided support to the Ministry of Health and Social Protection and the line ministries in building their staff capacities in two main areas</w:t>
      </w:r>
      <w:r w:rsidRPr="009B39EC">
        <w:rPr>
          <w:rFonts w:ascii="Arial" w:hAnsi="Arial" w:cs="Arial"/>
          <w:sz w:val="20"/>
          <w:szCs w:val="20"/>
          <w:lang w:val="en-GB"/>
        </w:rPr>
        <w:t>:</w:t>
      </w:r>
    </w:p>
    <w:p w14:paraId="014ACEC2" w14:textId="6C44222B" w:rsidR="00A33F2E" w:rsidRPr="009B39EC" w:rsidRDefault="003E2117" w:rsidP="00A33F2E">
      <w:pPr>
        <w:pStyle w:val="ListParagraph"/>
        <w:numPr>
          <w:ilvl w:val="0"/>
          <w:numId w:val="17"/>
        </w:numPr>
        <w:spacing w:after="0" w:line="240" w:lineRule="auto"/>
        <w:jc w:val="both"/>
        <w:rPr>
          <w:rFonts w:ascii="Arial" w:hAnsi="Arial" w:cs="Arial"/>
          <w:sz w:val="20"/>
          <w:szCs w:val="20"/>
          <w:lang w:val="en-GB"/>
        </w:rPr>
      </w:pPr>
      <w:r w:rsidRPr="009B39EC">
        <w:rPr>
          <w:rFonts w:ascii="Arial" w:hAnsi="Arial" w:cs="Arial"/>
          <w:sz w:val="20"/>
          <w:szCs w:val="20"/>
          <w:lang w:val="en-GB"/>
        </w:rPr>
        <w:t>The training package on the Law</w:t>
      </w:r>
      <w:r w:rsidR="00A33F2E" w:rsidRPr="009B39EC">
        <w:rPr>
          <w:rFonts w:ascii="Arial" w:hAnsi="Arial" w:cs="Arial"/>
          <w:sz w:val="20"/>
          <w:szCs w:val="20"/>
          <w:lang w:val="en-GB"/>
        </w:rPr>
        <w:t xml:space="preserve"> “</w:t>
      </w:r>
      <w:r w:rsidRPr="009B39EC">
        <w:rPr>
          <w:rFonts w:ascii="Arial" w:hAnsi="Arial" w:cs="Arial"/>
          <w:sz w:val="20"/>
          <w:szCs w:val="20"/>
          <w:lang w:val="en-GB"/>
        </w:rPr>
        <w:t>On gender equality in society</w:t>
      </w:r>
      <w:r w:rsidR="00A33F2E" w:rsidRPr="009B39EC">
        <w:rPr>
          <w:rFonts w:ascii="Arial" w:hAnsi="Arial" w:cs="Arial"/>
          <w:sz w:val="20"/>
          <w:szCs w:val="20"/>
          <w:lang w:val="en-GB"/>
        </w:rPr>
        <w:t>”</w:t>
      </w:r>
    </w:p>
    <w:p w14:paraId="2DEAA804" w14:textId="1361A588" w:rsidR="00A33F2E" w:rsidRPr="009B39EC" w:rsidRDefault="003E2117" w:rsidP="00A33F2E">
      <w:pPr>
        <w:pStyle w:val="ListParagraph"/>
        <w:numPr>
          <w:ilvl w:val="0"/>
          <w:numId w:val="17"/>
        </w:numPr>
        <w:spacing w:after="0" w:line="240" w:lineRule="auto"/>
        <w:jc w:val="both"/>
        <w:rPr>
          <w:rFonts w:ascii="Arial" w:hAnsi="Arial" w:cs="Arial"/>
          <w:sz w:val="20"/>
          <w:szCs w:val="20"/>
          <w:lang w:val="en-GB"/>
        </w:rPr>
      </w:pPr>
      <w:r w:rsidRPr="009B39EC">
        <w:rPr>
          <w:rFonts w:ascii="Arial" w:hAnsi="Arial" w:cs="Arial"/>
          <w:sz w:val="20"/>
          <w:szCs w:val="20"/>
          <w:lang w:val="en-GB"/>
        </w:rPr>
        <w:t>Gender responsive budgeting</w:t>
      </w:r>
      <w:r w:rsidR="00A33F2E" w:rsidRPr="009B39EC">
        <w:rPr>
          <w:rFonts w:ascii="Arial" w:hAnsi="Arial" w:cs="Arial"/>
          <w:sz w:val="20"/>
          <w:szCs w:val="20"/>
          <w:lang w:val="en-GB"/>
        </w:rPr>
        <w:t>.</w:t>
      </w:r>
    </w:p>
    <w:p w14:paraId="348B12D4" w14:textId="0E0E95BE" w:rsidR="00A33F2E" w:rsidRPr="009B39EC" w:rsidRDefault="003E2117"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The training was attended by the gender focal points at the Ministry of Health and Social Protection and all the gender focal points (gender employees) in the line ministries and the coordinators at the State Police. At the conclusion of the training, ASPA and the Ministry of Health and Social Protection issued certificates of successful completion to 15 employees from 12 institutions</w:t>
      </w:r>
      <w:r w:rsidR="00A33F2E" w:rsidRPr="009B39EC">
        <w:rPr>
          <w:rFonts w:ascii="Arial" w:hAnsi="Arial" w:cs="Arial"/>
          <w:sz w:val="20"/>
          <w:szCs w:val="20"/>
          <w:lang w:val="en-GB"/>
        </w:rPr>
        <w:t>.</w:t>
      </w:r>
    </w:p>
    <w:p w14:paraId="3E965C2B" w14:textId="295AAACD" w:rsidR="00A33F2E" w:rsidRPr="009B39EC" w:rsidRDefault="00A33F2E" w:rsidP="00A33F2E">
      <w:pPr>
        <w:spacing w:after="0" w:line="240" w:lineRule="auto"/>
        <w:jc w:val="both"/>
        <w:rPr>
          <w:rFonts w:ascii="Arial" w:hAnsi="Arial" w:cs="Arial"/>
          <w:sz w:val="20"/>
          <w:szCs w:val="20"/>
          <w:lang w:val="en-GB"/>
        </w:rPr>
      </w:pPr>
    </w:p>
    <w:p w14:paraId="16573166" w14:textId="552CD90B" w:rsidR="00A33F2E" w:rsidRPr="009B39EC" w:rsidRDefault="003E2117" w:rsidP="00A33F2E">
      <w:pPr>
        <w:spacing w:after="0" w:line="240" w:lineRule="auto"/>
        <w:jc w:val="both"/>
        <w:rPr>
          <w:rFonts w:ascii="Arial" w:hAnsi="Arial" w:cs="Arial"/>
          <w:sz w:val="20"/>
          <w:szCs w:val="20"/>
          <w:lang w:val="en-GB"/>
        </w:rPr>
      </w:pPr>
      <w:r w:rsidRPr="009B39EC">
        <w:rPr>
          <w:rFonts w:ascii="Arial" w:hAnsi="Arial" w:cs="Arial"/>
          <w:b/>
          <w:bCs/>
          <w:sz w:val="20"/>
          <w:szCs w:val="20"/>
          <w:lang w:val="en-GB"/>
        </w:rPr>
        <w:t>In</w:t>
      </w:r>
      <w:r w:rsidR="00A33F2E" w:rsidRPr="009B39EC">
        <w:rPr>
          <w:rFonts w:ascii="Arial" w:hAnsi="Arial" w:cs="Arial"/>
          <w:b/>
          <w:bCs/>
          <w:sz w:val="20"/>
          <w:szCs w:val="20"/>
          <w:lang w:val="en-GB"/>
        </w:rPr>
        <w:t xml:space="preserve"> 2019</w:t>
      </w:r>
      <w:r w:rsidR="00A33F2E" w:rsidRPr="009B39EC">
        <w:rPr>
          <w:rFonts w:ascii="Arial" w:hAnsi="Arial" w:cs="Arial"/>
          <w:sz w:val="20"/>
          <w:szCs w:val="20"/>
          <w:lang w:val="en-GB"/>
        </w:rPr>
        <w:t xml:space="preserve">, ASPA </w:t>
      </w:r>
      <w:r w:rsidR="00796217" w:rsidRPr="009B39EC">
        <w:rPr>
          <w:rFonts w:ascii="Arial" w:hAnsi="Arial" w:cs="Arial"/>
          <w:sz w:val="20"/>
          <w:szCs w:val="20"/>
          <w:lang w:val="en-GB"/>
        </w:rPr>
        <w:t xml:space="preserve">provided </w:t>
      </w:r>
      <w:r w:rsidR="00A33F2E" w:rsidRPr="009B39EC">
        <w:rPr>
          <w:rFonts w:ascii="Arial" w:hAnsi="Arial" w:cs="Arial"/>
          <w:sz w:val="20"/>
          <w:szCs w:val="20"/>
          <w:lang w:val="en-GB"/>
        </w:rPr>
        <w:t>tra</w:t>
      </w:r>
      <w:r w:rsidRPr="009B39EC">
        <w:rPr>
          <w:rFonts w:ascii="Arial" w:hAnsi="Arial" w:cs="Arial"/>
          <w:sz w:val="20"/>
          <w:szCs w:val="20"/>
          <w:lang w:val="en-GB"/>
        </w:rPr>
        <w:t>in</w:t>
      </w:r>
      <w:r w:rsidR="00796217" w:rsidRPr="009B39EC">
        <w:rPr>
          <w:rFonts w:ascii="Arial" w:hAnsi="Arial" w:cs="Arial"/>
          <w:sz w:val="20"/>
          <w:szCs w:val="20"/>
          <w:lang w:val="en-GB"/>
        </w:rPr>
        <w:t>ing to</w:t>
      </w:r>
      <w:r w:rsidR="00A33F2E" w:rsidRPr="009B39EC">
        <w:rPr>
          <w:rFonts w:ascii="Arial" w:hAnsi="Arial" w:cs="Arial"/>
          <w:sz w:val="20"/>
          <w:szCs w:val="20"/>
          <w:lang w:val="en-GB"/>
        </w:rPr>
        <w:t xml:space="preserve"> 201 p</w:t>
      </w:r>
      <w:r w:rsidRPr="009B39EC">
        <w:rPr>
          <w:rFonts w:ascii="Arial" w:hAnsi="Arial" w:cs="Arial"/>
          <w:sz w:val="20"/>
          <w:szCs w:val="20"/>
          <w:lang w:val="en-GB"/>
        </w:rPr>
        <w:t xml:space="preserve">articipants on </w:t>
      </w:r>
      <w:r w:rsidR="00796217" w:rsidRPr="009B39EC">
        <w:rPr>
          <w:rFonts w:ascii="Arial" w:hAnsi="Arial" w:cs="Arial"/>
          <w:sz w:val="20"/>
          <w:szCs w:val="20"/>
          <w:lang w:val="en-GB"/>
        </w:rPr>
        <w:t xml:space="preserve">a variety of </w:t>
      </w:r>
      <w:r w:rsidRPr="009B39EC">
        <w:rPr>
          <w:rFonts w:ascii="Arial" w:hAnsi="Arial" w:cs="Arial"/>
          <w:sz w:val="20"/>
          <w:szCs w:val="20"/>
          <w:lang w:val="en-GB"/>
        </w:rPr>
        <w:t>topics related to the Istanbul Convention</w:t>
      </w:r>
      <w:r w:rsidR="00A33F2E" w:rsidRPr="009B39EC">
        <w:rPr>
          <w:rFonts w:ascii="Arial" w:hAnsi="Arial" w:cs="Arial"/>
          <w:sz w:val="20"/>
          <w:szCs w:val="20"/>
          <w:lang w:val="en-GB"/>
        </w:rPr>
        <w:t xml:space="preserve">. </w:t>
      </w:r>
      <w:r w:rsidRPr="009B39EC">
        <w:rPr>
          <w:rFonts w:ascii="Arial" w:hAnsi="Arial" w:cs="Arial"/>
          <w:b/>
          <w:bCs/>
          <w:sz w:val="20"/>
          <w:szCs w:val="20"/>
          <w:lang w:val="en-GB"/>
        </w:rPr>
        <w:t>In</w:t>
      </w:r>
      <w:r w:rsidR="00A33F2E" w:rsidRPr="009B39EC">
        <w:rPr>
          <w:rFonts w:ascii="Arial" w:hAnsi="Arial" w:cs="Arial"/>
          <w:b/>
          <w:bCs/>
          <w:sz w:val="20"/>
          <w:szCs w:val="20"/>
          <w:lang w:val="en-GB"/>
        </w:rPr>
        <w:t xml:space="preserve"> 2020</w:t>
      </w:r>
      <w:r w:rsidR="00A33F2E" w:rsidRPr="009B39EC">
        <w:rPr>
          <w:rFonts w:ascii="Arial" w:hAnsi="Arial" w:cs="Arial"/>
          <w:sz w:val="20"/>
          <w:szCs w:val="20"/>
          <w:lang w:val="en-GB"/>
        </w:rPr>
        <w:t>, ASPA tra</w:t>
      </w:r>
      <w:r w:rsidRPr="009B39EC">
        <w:rPr>
          <w:rFonts w:ascii="Arial" w:hAnsi="Arial" w:cs="Arial"/>
          <w:sz w:val="20"/>
          <w:szCs w:val="20"/>
          <w:lang w:val="en-GB"/>
        </w:rPr>
        <w:t>ined</w:t>
      </w:r>
      <w:r w:rsidR="00A33F2E" w:rsidRPr="009B39EC">
        <w:rPr>
          <w:rFonts w:ascii="Arial" w:hAnsi="Arial" w:cs="Arial"/>
          <w:sz w:val="20"/>
          <w:szCs w:val="20"/>
          <w:lang w:val="en-GB"/>
        </w:rPr>
        <w:t xml:space="preserve"> 1136 </w:t>
      </w:r>
      <w:r w:rsidRPr="009B39EC">
        <w:rPr>
          <w:rFonts w:ascii="Arial" w:hAnsi="Arial" w:cs="Arial"/>
          <w:sz w:val="20"/>
          <w:szCs w:val="20"/>
          <w:lang w:val="en-GB"/>
        </w:rPr>
        <w:t>participants on t</w:t>
      </w:r>
      <w:r w:rsidR="00210B1B" w:rsidRPr="009B39EC">
        <w:rPr>
          <w:rFonts w:ascii="Arial" w:hAnsi="Arial" w:cs="Arial"/>
          <w:sz w:val="20"/>
          <w:szCs w:val="20"/>
          <w:lang w:val="en-GB"/>
        </w:rPr>
        <w:t>hematic areas</w:t>
      </w:r>
      <w:r w:rsidRPr="009B39EC">
        <w:rPr>
          <w:rFonts w:ascii="Arial" w:hAnsi="Arial" w:cs="Arial"/>
          <w:sz w:val="20"/>
          <w:szCs w:val="20"/>
          <w:lang w:val="en-GB"/>
        </w:rPr>
        <w:t xml:space="preserve"> related to the Istanbul Convention</w:t>
      </w:r>
      <w:r w:rsidR="00A33F2E" w:rsidRPr="009B39EC">
        <w:rPr>
          <w:rFonts w:ascii="Arial" w:hAnsi="Arial" w:cs="Arial"/>
          <w:sz w:val="20"/>
          <w:szCs w:val="20"/>
          <w:lang w:val="en-GB"/>
        </w:rPr>
        <w:t xml:space="preserve">. </w:t>
      </w:r>
      <w:r w:rsidRPr="009B39EC">
        <w:rPr>
          <w:rFonts w:ascii="Arial" w:hAnsi="Arial" w:cs="Arial"/>
          <w:b/>
          <w:bCs/>
          <w:sz w:val="20"/>
          <w:szCs w:val="20"/>
          <w:lang w:val="en-GB"/>
        </w:rPr>
        <w:t>In the period January</w:t>
      </w:r>
      <w:r w:rsidR="008D793A" w:rsidRPr="009B39EC">
        <w:rPr>
          <w:rFonts w:ascii="Arial" w:hAnsi="Arial" w:cs="Arial"/>
          <w:b/>
          <w:bCs/>
          <w:sz w:val="20"/>
          <w:szCs w:val="20"/>
          <w:lang w:val="en-GB"/>
        </w:rPr>
        <w:t xml:space="preserve"> – 24 June </w:t>
      </w:r>
      <w:r w:rsidR="00A33F2E" w:rsidRPr="009B39EC">
        <w:rPr>
          <w:rFonts w:ascii="Arial" w:hAnsi="Arial" w:cs="Arial"/>
          <w:b/>
          <w:bCs/>
          <w:sz w:val="20"/>
          <w:szCs w:val="20"/>
          <w:lang w:val="en-GB"/>
        </w:rPr>
        <w:t>2021</w:t>
      </w:r>
      <w:r w:rsidR="00A33F2E" w:rsidRPr="009B39EC">
        <w:rPr>
          <w:rFonts w:ascii="Arial" w:hAnsi="Arial" w:cs="Arial"/>
          <w:sz w:val="20"/>
          <w:szCs w:val="20"/>
          <w:lang w:val="en-GB"/>
        </w:rPr>
        <w:t xml:space="preserve">, ASPA </w:t>
      </w:r>
      <w:r w:rsidRPr="009B39EC">
        <w:rPr>
          <w:rFonts w:ascii="Arial" w:hAnsi="Arial" w:cs="Arial"/>
          <w:sz w:val="20"/>
          <w:szCs w:val="20"/>
          <w:lang w:val="en-GB"/>
        </w:rPr>
        <w:t>trained</w:t>
      </w:r>
      <w:r w:rsidR="00A33F2E" w:rsidRPr="009B39EC">
        <w:rPr>
          <w:rFonts w:ascii="Arial" w:hAnsi="Arial" w:cs="Arial"/>
          <w:sz w:val="20"/>
          <w:szCs w:val="20"/>
          <w:lang w:val="en-GB"/>
        </w:rPr>
        <w:t xml:space="preserve"> </w:t>
      </w:r>
      <w:r w:rsidR="008D793A" w:rsidRPr="009B39EC">
        <w:rPr>
          <w:rFonts w:ascii="Arial" w:hAnsi="Arial" w:cs="Arial"/>
          <w:sz w:val="20"/>
          <w:szCs w:val="20"/>
          <w:lang w:val="en-GB"/>
        </w:rPr>
        <w:t xml:space="preserve">576 </w:t>
      </w:r>
      <w:r w:rsidRPr="009B39EC">
        <w:rPr>
          <w:rFonts w:ascii="Arial" w:hAnsi="Arial" w:cs="Arial"/>
          <w:sz w:val="20"/>
          <w:szCs w:val="20"/>
          <w:lang w:val="en-GB"/>
        </w:rPr>
        <w:t>participants on t</w:t>
      </w:r>
      <w:r w:rsidR="00210B1B" w:rsidRPr="009B39EC">
        <w:rPr>
          <w:rFonts w:ascii="Arial" w:hAnsi="Arial" w:cs="Arial"/>
          <w:sz w:val="20"/>
          <w:szCs w:val="20"/>
          <w:lang w:val="en-GB"/>
        </w:rPr>
        <w:t>hematic areas</w:t>
      </w:r>
      <w:r w:rsidRPr="009B39EC">
        <w:rPr>
          <w:rFonts w:ascii="Arial" w:hAnsi="Arial" w:cs="Arial"/>
          <w:sz w:val="20"/>
          <w:szCs w:val="20"/>
          <w:lang w:val="en-GB"/>
        </w:rPr>
        <w:t xml:space="preserve"> related to the Istanbul Convention</w:t>
      </w:r>
      <w:r w:rsidR="00A33F2E" w:rsidRPr="009B39EC">
        <w:rPr>
          <w:rFonts w:ascii="Arial" w:hAnsi="Arial" w:cs="Arial"/>
          <w:sz w:val="20"/>
          <w:szCs w:val="20"/>
          <w:lang w:val="en-GB"/>
        </w:rPr>
        <w:t>.</w:t>
      </w:r>
    </w:p>
    <w:p w14:paraId="373EA31C" w14:textId="01C2DBD4" w:rsidR="008D793A" w:rsidRPr="009B39EC" w:rsidRDefault="008D793A" w:rsidP="00A33F2E">
      <w:pPr>
        <w:spacing w:after="0" w:line="240" w:lineRule="auto"/>
        <w:jc w:val="both"/>
        <w:rPr>
          <w:rFonts w:ascii="Arial" w:hAnsi="Arial" w:cs="Arial"/>
          <w:sz w:val="20"/>
          <w:szCs w:val="20"/>
          <w:lang w:val="en-GB"/>
        </w:rPr>
      </w:pPr>
    </w:p>
    <w:p w14:paraId="2B781368" w14:textId="37934101" w:rsidR="008D793A" w:rsidRPr="009B39EC" w:rsidRDefault="008D793A"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Table 1: Data on trainings related to the Istanbul Convention for 2019</w:t>
      </w:r>
    </w:p>
    <w:tbl>
      <w:tblPr>
        <w:tblW w:w="10011" w:type="dxa"/>
        <w:tblInd w:w="118" w:type="dxa"/>
        <w:tblLook w:val="04A0" w:firstRow="1" w:lastRow="0" w:firstColumn="1" w:lastColumn="0" w:noHBand="0" w:noVBand="1"/>
      </w:tblPr>
      <w:tblGrid>
        <w:gridCol w:w="957"/>
        <w:gridCol w:w="2300"/>
        <w:gridCol w:w="1690"/>
        <w:gridCol w:w="1688"/>
        <w:gridCol w:w="1688"/>
        <w:gridCol w:w="1688"/>
      </w:tblGrid>
      <w:tr w:rsidR="008D793A" w:rsidRPr="009B39EC" w14:paraId="336C2565" w14:textId="77777777" w:rsidTr="000157E7">
        <w:trPr>
          <w:trHeight w:val="767"/>
        </w:trPr>
        <w:tc>
          <w:tcPr>
            <w:tcW w:w="957" w:type="dxa"/>
            <w:tcBorders>
              <w:top w:val="single" w:sz="8" w:space="0" w:color="auto"/>
              <w:left w:val="single" w:sz="8" w:space="0" w:color="auto"/>
              <w:bottom w:val="nil"/>
              <w:right w:val="single" w:sz="8" w:space="0" w:color="auto"/>
            </w:tcBorders>
            <w:shd w:val="clear" w:color="000000" w:fill="5B9BD5"/>
            <w:vAlign w:val="center"/>
            <w:hideMark/>
          </w:tcPr>
          <w:p w14:paraId="46BA51A9" w14:textId="79D7CD8E"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No</w:t>
            </w:r>
          </w:p>
        </w:tc>
        <w:tc>
          <w:tcPr>
            <w:tcW w:w="2300" w:type="dxa"/>
            <w:tcBorders>
              <w:top w:val="single" w:sz="8" w:space="0" w:color="auto"/>
              <w:left w:val="nil"/>
              <w:bottom w:val="nil"/>
              <w:right w:val="single" w:sz="8" w:space="0" w:color="auto"/>
            </w:tcBorders>
            <w:shd w:val="clear" w:color="000000" w:fill="5B9BD5"/>
            <w:vAlign w:val="center"/>
            <w:hideMark/>
          </w:tcPr>
          <w:p w14:paraId="74DBA65E" w14:textId="55ACF998"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Training topic</w:t>
            </w:r>
          </w:p>
        </w:tc>
        <w:tc>
          <w:tcPr>
            <w:tcW w:w="1690" w:type="dxa"/>
            <w:tcBorders>
              <w:top w:val="single" w:sz="8" w:space="0" w:color="auto"/>
              <w:left w:val="nil"/>
              <w:bottom w:val="single" w:sz="8" w:space="0" w:color="auto"/>
              <w:right w:val="single" w:sz="8" w:space="0" w:color="auto"/>
            </w:tcBorders>
            <w:shd w:val="clear" w:color="000000" w:fill="5B9BD5"/>
            <w:vAlign w:val="center"/>
            <w:hideMark/>
          </w:tcPr>
          <w:p w14:paraId="298A6C85" w14:textId="5D405108"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Training module</w:t>
            </w:r>
          </w:p>
        </w:tc>
        <w:tc>
          <w:tcPr>
            <w:tcW w:w="1688" w:type="dxa"/>
            <w:tcBorders>
              <w:top w:val="single" w:sz="8" w:space="0" w:color="auto"/>
              <w:left w:val="nil"/>
              <w:bottom w:val="nil"/>
              <w:right w:val="single" w:sz="8" w:space="0" w:color="auto"/>
            </w:tcBorders>
            <w:shd w:val="clear" w:color="000000" w:fill="5B9BD5"/>
            <w:vAlign w:val="center"/>
            <w:hideMark/>
          </w:tcPr>
          <w:p w14:paraId="3E71F445" w14:textId="1C60A067"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 xml:space="preserve">Trained persons </w:t>
            </w:r>
          </w:p>
        </w:tc>
        <w:tc>
          <w:tcPr>
            <w:tcW w:w="1688" w:type="dxa"/>
            <w:tcBorders>
              <w:top w:val="single" w:sz="8" w:space="0" w:color="auto"/>
              <w:left w:val="nil"/>
              <w:bottom w:val="nil"/>
              <w:right w:val="single" w:sz="8" w:space="0" w:color="auto"/>
            </w:tcBorders>
            <w:shd w:val="clear" w:color="000000" w:fill="5B9BD5"/>
            <w:vAlign w:val="center"/>
            <w:hideMark/>
          </w:tcPr>
          <w:p w14:paraId="34B4DF9F" w14:textId="068A8DEF"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Females</w:t>
            </w:r>
          </w:p>
        </w:tc>
        <w:tc>
          <w:tcPr>
            <w:tcW w:w="1688" w:type="dxa"/>
            <w:tcBorders>
              <w:top w:val="single" w:sz="8" w:space="0" w:color="auto"/>
              <w:left w:val="nil"/>
              <w:bottom w:val="nil"/>
              <w:right w:val="single" w:sz="8" w:space="0" w:color="auto"/>
            </w:tcBorders>
            <w:shd w:val="clear" w:color="000000" w:fill="5B9BD5"/>
            <w:vAlign w:val="center"/>
            <w:hideMark/>
          </w:tcPr>
          <w:p w14:paraId="19F3A776" w14:textId="79638A7F"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Males</w:t>
            </w:r>
          </w:p>
        </w:tc>
      </w:tr>
      <w:tr w:rsidR="008D793A" w:rsidRPr="009B39EC" w14:paraId="4FDF9225" w14:textId="77777777" w:rsidTr="000157E7">
        <w:trPr>
          <w:trHeight w:val="1350"/>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7120"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6E77C5DE" w14:textId="722ADD18"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mainstreaming at the local level</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03EECF69" w14:textId="0B6E6AF1"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7B97A910"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35</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043DB451"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4E3B314F"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32</w:t>
            </w:r>
          </w:p>
        </w:tc>
      </w:tr>
      <w:tr w:rsidR="008D793A" w:rsidRPr="009B39EC" w14:paraId="3C66A55D" w14:textId="77777777" w:rsidTr="000157E7">
        <w:trPr>
          <w:trHeight w:val="13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EF6653D"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lastRenderedPageBreak/>
              <w:t>2</w:t>
            </w:r>
          </w:p>
        </w:tc>
        <w:tc>
          <w:tcPr>
            <w:tcW w:w="2300" w:type="dxa"/>
            <w:tcBorders>
              <w:top w:val="nil"/>
              <w:left w:val="nil"/>
              <w:bottom w:val="single" w:sz="4" w:space="0" w:color="auto"/>
              <w:right w:val="single" w:sz="4" w:space="0" w:color="auto"/>
            </w:tcBorders>
            <w:shd w:val="clear" w:color="auto" w:fill="auto"/>
            <w:vAlign w:val="center"/>
            <w:hideMark/>
          </w:tcPr>
          <w:p w14:paraId="5D96C028" w14:textId="65196F68"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in the provision of services in Public Administration</w:t>
            </w:r>
          </w:p>
        </w:tc>
        <w:tc>
          <w:tcPr>
            <w:tcW w:w="1690" w:type="dxa"/>
            <w:tcBorders>
              <w:top w:val="nil"/>
              <w:left w:val="nil"/>
              <w:bottom w:val="single" w:sz="4" w:space="0" w:color="auto"/>
              <w:right w:val="single" w:sz="4" w:space="0" w:color="auto"/>
            </w:tcBorders>
            <w:shd w:val="clear" w:color="auto" w:fill="auto"/>
            <w:vAlign w:val="center"/>
            <w:hideMark/>
          </w:tcPr>
          <w:p w14:paraId="7B56A70E" w14:textId="0C2ABEAC"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nil"/>
              <w:left w:val="nil"/>
              <w:bottom w:val="single" w:sz="4" w:space="0" w:color="auto"/>
              <w:right w:val="single" w:sz="4" w:space="0" w:color="auto"/>
            </w:tcBorders>
            <w:shd w:val="clear" w:color="auto" w:fill="auto"/>
            <w:noWrap/>
            <w:vAlign w:val="center"/>
            <w:hideMark/>
          </w:tcPr>
          <w:p w14:paraId="4653ACD6"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15</w:t>
            </w:r>
          </w:p>
        </w:tc>
        <w:tc>
          <w:tcPr>
            <w:tcW w:w="1688" w:type="dxa"/>
            <w:tcBorders>
              <w:top w:val="nil"/>
              <w:left w:val="nil"/>
              <w:bottom w:val="single" w:sz="4" w:space="0" w:color="auto"/>
              <w:right w:val="single" w:sz="4" w:space="0" w:color="auto"/>
            </w:tcBorders>
            <w:shd w:val="clear" w:color="auto" w:fill="auto"/>
            <w:noWrap/>
            <w:vAlign w:val="center"/>
            <w:hideMark/>
          </w:tcPr>
          <w:p w14:paraId="131A6530"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w:t>
            </w:r>
          </w:p>
        </w:tc>
        <w:tc>
          <w:tcPr>
            <w:tcW w:w="1688" w:type="dxa"/>
            <w:tcBorders>
              <w:top w:val="nil"/>
              <w:left w:val="nil"/>
              <w:bottom w:val="single" w:sz="4" w:space="0" w:color="auto"/>
              <w:right w:val="single" w:sz="4" w:space="0" w:color="auto"/>
            </w:tcBorders>
            <w:shd w:val="clear" w:color="auto" w:fill="auto"/>
            <w:noWrap/>
            <w:vAlign w:val="center"/>
            <w:hideMark/>
          </w:tcPr>
          <w:p w14:paraId="76A894F0"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13</w:t>
            </w:r>
          </w:p>
        </w:tc>
      </w:tr>
      <w:tr w:rsidR="008D793A" w:rsidRPr="009B39EC" w14:paraId="7F45915E" w14:textId="77777777" w:rsidTr="000157E7">
        <w:trPr>
          <w:trHeight w:val="13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8E2A319"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w:t>
            </w:r>
          </w:p>
        </w:tc>
        <w:tc>
          <w:tcPr>
            <w:tcW w:w="2300" w:type="dxa"/>
            <w:tcBorders>
              <w:top w:val="nil"/>
              <w:left w:val="nil"/>
              <w:bottom w:val="single" w:sz="4" w:space="0" w:color="auto"/>
              <w:right w:val="single" w:sz="4" w:space="0" w:color="auto"/>
            </w:tcBorders>
            <w:shd w:val="clear" w:color="auto" w:fill="auto"/>
            <w:vAlign w:val="center"/>
            <w:hideMark/>
          </w:tcPr>
          <w:p w14:paraId="3997C668" w14:textId="29832BE3" w:rsidR="008D793A" w:rsidRPr="009B39EC" w:rsidRDefault="00EE21DB"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Discrimination and the burden of proof</w:t>
            </w:r>
          </w:p>
        </w:tc>
        <w:tc>
          <w:tcPr>
            <w:tcW w:w="1690" w:type="dxa"/>
            <w:tcBorders>
              <w:top w:val="nil"/>
              <w:left w:val="nil"/>
              <w:bottom w:val="single" w:sz="4" w:space="0" w:color="auto"/>
              <w:right w:val="single" w:sz="4" w:space="0" w:color="auto"/>
            </w:tcBorders>
            <w:shd w:val="clear" w:color="auto" w:fill="auto"/>
            <w:vAlign w:val="center"/>
            <w:hideMark/>
          </w:tcPr>
          <w:p w14:paraId="0EA352D5" w14:textId="7C855B6A"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nil"/>
              <w:left w:val="nil"/>
              <w:bottom w:val="single" w:sz="4" w:space="0" w:color="auto"/>
              <w:right w:val="single" w:sz="4" w:space="0" w:color="auto"/>
            </w:tcBorders>
            <w:shd w:val="clear" w:color="auto" w:fill="auto"/>
            <w:noWrap/>
            <w:vAlign w:val="center"/>
            <w:hideMark/>
          </w:tcPr>
          <w:p w14:paraId="2AAD810F"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17</w:t>
            </w:r>
          </w:p>
        </w:tc>
        <w:tc>
          <w:tcPr>
            <w:tcW w:w="1688" w:type="dxa"/>
            <w:tcBorders>
              <w:top w:val="nil"/>
              <w:left w:val="nil"/>
              <w:bottom w:val="single" w:sz="4" w:space="0" w:color="auto"/>
              <w:right w:val="single" w:sz="4" w:space="0" w:color="auto"/>
            </w:tcBorders>
            <w:shd w:val="clear" w:color="auto" w:fill="auto"/>
            <w:noWrap/>
            <w:vAlign w:val="center"/>
            <w:hideMark/>
          </w:tcPr>
          <w:p w14:paraId="5D3CE175"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0</w:t>
            </w:r>
          </w:p>
        </w:tc>
        <w:tc>
          <w:tcPr>
            <w:tcW w:w="1688" w:type="dxa"/>
            <w:tcBorders>
              <w:top w:val="nil"/>
              <w:left w:val="nil"/>
              <w:bottom w:val="single" w:sz="4" w:space="0" w:color="auto"/>
              <w:right w:val="single" w:sz="4" w:space="0" w:color="auto"/>
            </w:tcBorders>
            <w:shd w:val="clear" w:color="auto" w:fill="auto"/>
            <w:noWrap/>
            <w:vAlign w:val="center"/>
            <w:hideMark/>
          </w:tcPr>
          <w:p w14:paraId="03A22A83"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17</w:t>
            </w:r>
          </w:p>
        </w:tc>
      </w:tr>
      <w:tr w:rsidR="008D793A" w:rsidRPr="009B39EC" w14:paraId="5487609A" w14:textId="77777777" w:rsidTr="000157E7">
        <w:trPr>
          <w:trHeight w:val="13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AE6C2AE"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w:t>
            </w:r>
          </w:p>
        </w:tc>
        <w:tc>
          <w:tcPr>
            <w:tcW w:w="2300" w:type="dxa"/>
            <w:tcBorders>
              <w:top w:val="nil"/>
              <w:left w:val="nil"/>
              <w:bottom w:val="single" w:sz="4" w:space="0" w:color="auto"/>
              <w:right w:val="single" w:sz="4" w:space="0" w:color="auto"/>
            </w:tcBorders>
            <w:shd w:val="clear" w:color="auto" w:fill="auto"/>
            <w:vAlign w:val="center"/>
            <w:hideMark/>
          </w:tcPr>
          <w:p w14:paraId="71C746AE" w14:textId="4144759B" w:rsidR="008D793A" w:rsidRPr="009B39EC" w:rsidRDefault="00EE21DB"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in Decision Making / Gender Quotas</w:t>
            </w:r>
          </w:p>
        </w:tc>
        <w:tc>
          <w:tcPr>
            <w:tcW w:w="1690" w:type="dxa"/>
            <w:tcBorders>
              <w:top w:val="nil"/>
              <w:left w:val="nil"/>
              <w:bottom w:val="single" w:sz="4" w:space="0" w:color="auto"/>
              <w:right w:val="single" w:sz="4" w:space="0" w:color="auto"/>
            </w:tcBorders>
            <w:shd w:val="clear" w:color="auto" w:fill="auto"/>
            <w:vAlign w:val="center"/>
            <w:hideMark/>
          </w:tcPr>
          <w:p w14:paraId="04EF6744" w14:textId="1868565F"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nil"/>
              <w:left w:val="nil"/>
              <w:bottom w:val="single" w:sz="4" w:space="0" w:color="auto"/>
              <w:right w:val="single" w:sz="4" w:space="0" w:color="auto"/>
            </w:tcBorders>
            <w:shd w:val="clear" w:color="auto" w:fill="auto"/>
            <w:noWrap/>
            <w:vAlign w:val="center"/>
            <w:hideMark/>
          </w:tcPr>
          <w:p w14:paraId="6F595E76"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14</w:t>
            </w:r>
          </w:p>
        </w:tc>
        <w:tc>
          <w:tcPr>
            <w:tcW w:w="1688" w:type="dxa"/>
            <w:tcBorders>
              <w:top w:val="nil"/>
              <w:left w:val="nil"/>
              <w:bottom w:val="single" w:sz="4" w:space="0" w:color="auto"/>
              <w:right w:val="single" w:sz="4" w:space="0" w:color="auto"/>
            </w:tcBorders>
            <w:shd w:val="clear" w:color="auto" w:fill="auto"/>
            <w:noWrap/>
            <w:vAlign w:val="center"/>
            <w:hideMark/>
          </w:tcPr>
          <w:p w14:paraId="5289CF00"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0</w:t>
            </w:r>
          </w:p>
        </w:tc>
        <w:tc>
          <w:tcPr>
            <w:tcW w:w="1688" w:type="dxa"/>
            <w:tcBorders>
              <w:top w:val="nil"/>
              <w:left w:val="nil"/>
              <w:bottom w:val="single" w:sz="4" w:space="0" w:color="auto"/>
              <w:right w:val="single" w:sz="4" w:space="0" w:color="auto"/>
            </w:tcBorders>
            <w:shd w:val="clear" w:color="auto" w:fill="auto"/>
            <w:noWrap/>
            <w:vAlign w:val="center"/>
            <w:hideMark/>
          </w:tcPr>
          <w:p w14:paraId="0BD70FD7"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14</w:t>
            </w:r>
          </w:p>
        </w:tc>
      </w:tr>
      <w:tr w:rsidR="008D793A" w:rsidRPr="009B39EC" w14:paraId="2162278E" w14:textId="77777777" w:rsidTr="000157E7">
        <w:trPr>
          <w:trHeight w:val="13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891E84F"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w:t>
            </w:r>
          </w:p>
        </w:tc>
        <w:tc>
          <w:tcPr>
            <w:tcW w:w="2300" w:type="dxa"/>
            <w:tcBorders>
              <w:top w:val="nil"/>
              <w:left w:val="nil"/>
              <w:bottom w:val="single" w:sz="4" w:space="0" w:color="auto"/>
              <w:right w:val="single" w:sz="4" w:space="0" w:color="auto"/>
            </w:tcBorders>
            <w:shd w:val="clear" w:color="auto" w:fill="auto"/>
            <w:vAlign w:val="center"/>
            <w:hideMark/>
          </w:tcPr>
          <w:p w14:paraId="4089FBE9" w14:textId="76463788" w:rsidR="008D793A" w:rsidRPr="009B39EC" w:rsidRDefault="00EE21DB"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analysis and Gender Mainstreaming in Public Administration</w:t>
            </w:r>
          </w:p>
        </w:tc>
        <w:tc>
          <w:tcPr>
            <w:tcW w:w="1690" w:type="dxa"/>
            <w:tcBorders>
              <w:top w:val="nil"/>
              <w:left w:val="nil"/>
              <w:bottom w:val="single" w:sz="4" w:space="0" w:color="auto"/>
              <w:right w:val="single" w:sz="4" w:space="0" w:color="auto"/>
            </w:tcBorders>
            <w:shd w:val="clear" w:color="auto" w:fill="auto"/>
            <w:vAlign w:val="center"/>
            <w:hideMark/>
          </w:tcPr>
          <w:p w14:paraId="0891F1FD" w14:textId="70D8E508"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nil"/>
              <w:left w:val="nil"/>
              <w:bottom w:val="single" w:sz="4" w:space="0" w:color="auto"/>
              <w:right w:val="single" w:sz="4" w:space="0" w:color="auto"/>
            </w:tcBorders>
            <w:shd w:val="clear" w:color="auto" w:fill="auto"/>
            <w:noWrap/>
            <w:vAlign w:val="center"/>
            <w:hideMark/>
          </w:tcPr>
          <w:p w14:paraId="61FD304E"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17</w:t>
            </w:r>
          </w:p>
        </w:tc>
        <w:tc>
          <w:tcPr>
            <w:tcW w:w="1688" w:type="dxa"/>
            <w:tcBorders>
              <w:top w:val="nil"/>
              <w:left w:val="nil"/>
              <w:bottom w:val="single" w:sz="4" w:space="0" w:color="auto"/>
              <w:right w:val="single" w:sz="4" w:space="0" w:color="auto"/>
            </w:tcBorders>
            <w:shd w:val="clear" w:color="auto" w:fill="auto"/>
            <w:noWrap/>
            <w:vAlign w:val="center"/>
            <w:hideMark/>
          </w:tcPr>
          <w:p w14:paraId="4932FF6B"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w:t>
            </w:r>
          </w:p>
        </w:tc>
        <w:tc>
          <w:tcPr>
            <w:tcW w:w="1688" w:type="dxa"/>
            <w:tcBorders>
              <w:top w:val="nil"/>
              <w:left w:val="nil"/>
              <w:bottom w:val="single" w:sz="4" w:space="0" w:color="auto"/>
              <w:right w:val="single" w:sz="4" w:space="0" w:color="auto"/>
            </w:tcBorders>
            <w:shd w:val="clear" w:color="auto" w:fill="auto"/>
            <w:noWrap/>
            <w:vAlign w:val="center"/>
            <w:hideMark/>
          </w:tcPr>
          <w:p w14:paraId="447D98F7"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13</w:t>
            </w:r>
          </w:p>
        </w:tc>
      </w:tr>
      <w:tr w:rsidR="008D793A" w:rsidRPr="009B39EC" w14:paraId="65561DED" w14:textId="77777777" w:rsidTr="000157E7">
        <w:trPr>
          <w:trHeight w:val="13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D9434AC"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49B58C44" w14:textId="7959B67A" w:rsidR="008D793A" w:rsidRPr="009B39EC" w:rsidRDefault="00EE21DB"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analysis and Gender Mainstreaming in Public Administration (for leadership)</w:t>
            </w:r>
          </w:p>
        </w:tc>
        <w:tc>
          <w:tcPr>
            <w:tcW w:w="1690" w:type="dxa"/>
            <w:tcBorders>
              <w:top w:val="nil"/>
              <w:left w:val="nil"/>
              <w:bottom w:val="single" w:sz="4" w:space="0" w:color="auto"/>
              <w:right w:val="single" w:sz="4" w:space="0" w:color="auto"/>
            </w:tcBorders>
            <w:shd w:val="clear" w:color="auto" w:fill="auto"/>
            <w:vAlign w:val="center"/>
            <w:hideMark/>
          </w:tcPr>
          <w:p w14:paraId="54D2E81D" w14:textId="1504DE2B"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nil"/>
              <w:left w:val="nil"/>
              <w:bottom w:val="single" w:sz="4" w:space="0" w:color="auto"/>
              <w:right w:val="single" w:sz="4" w:space="0" w:color="auto"/>
            </w:tcBorders>
            <w:shd w:val="clear" w:color="auto" w:fill="auto"/>
            <w:noWrap/>
            <w:vAlign w:val="center"/>
            <w:hideMark/>
          </w:tcPr>
          <w:p w14:paraId="3A1F9174"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26</w:t>
            </w:r>
          </w:p>
        </w:tc>
        <w:tc>
          <w:tcPr>
            <w:tcW w:w="1688" w:type="dxa"/>
            <w:tcBorders>
              <w:top w:val="nil"/>
              <w:left w:val="nil"/>
              <w:bottom w:val="single" w:sz="4" w:space="0" w:color="auto"/>
              <w:right w:val="single" w:sz="4" w:space="0" w:color="auto"/>
            </w:tcBorders>
            <w:shd w:val="clear" w:color="auto" w:fill="auto"/>
            <w:noWrap/>
            <w:vAlign w:val="center"/>
            <w:hideMark/>
          </w:tcPr>
          <w:p w14:paraId="681BDEB6"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w:t>
            </w:r>
          </w:p>
        </w:tc>
        <w:tc>
          <w:tcPr>
            <w:tcW w:w="1688" w:type="dxa"/>
            <w:tcBorders>
              <w:top w:val="nil"/>
              <w:left w:val="nil"/>
              <w:bottom w:val="single" w:sz="4" w:space="0" w:color="auto"/>
              <w:right w:val="single" w:sz="4" w:space="0" w:color="auto"/>
            </w:tcBorders>
            <w:shd w:val="clear" w:color="auto" w:fill="auto"/>
            <w:noWrap/>
            <w:vAlign w:val="center"/>
            <w:hideMark/>
          </w:tcPr>
          <w:p w14:paraId="103BE894"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21</w:t>
            </w:r>
          </w:p>
        </w:tc>
      </w:tr>
      <w:tr w:rsidR="008D793A" w:rsidRPr="009B39EC" w14:paraId="0AC9024F" w14:textId="77777777" w:rsidTr="000157E7">
        <w:trPr>
          <w:trHeight w:val="13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3C6F4B9"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w:t>
            </w:r>
          </w:p>
        </w:tc>
        <w:tc>
          <w:tcPr>
            <w:tcW w:w="2300" w:type="dxa"/>
            <w:tcBorders>
              <w:top w:val="nil"/>
              <w:left w:val="nil"/>
              <w:bottom w:val="single" w:sz="4" w:space="0" w:color="auto"/>
              <w:right w:val="single" w:sz="4" w:space="0" w:color="auto"/>
            </w:tcBorders>
            <w:shd w:val="clear" w:color="auto" w:fill="auto"/>
            <w:vAlign w:val="center"/>
            <w:hideMark/>
          </w:tcPr>
          <w:p w14:paraId="72A73F10" w14:textId="67BE03AD" w:rsidR="008D793A" w:rsidRPr="009B39EC" w:rsidRDefault="00EE21DB"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 xml:space="preserve">Gender Equality and Gender </w:t>
            </w:r>
            <w:proofErr w:type="spellStart"/>
            <w:r w:rsidRPr="009B39EC">
              <w:rPr>
                <w:rFonts w:ascii="Arial" w:eastAsia="Times New Roman" w:hAnsi="Arial" w:cs="Arial"/>
                <w:color w:val="000000"/>
                <w:sz w:val="20"/>
                <w:szCs w:val="20"/>
                <w:lang w:val="en-US"/>
              </w:rPr>
              <w:t>Respoinsive</w:t>
            </w:r>
            <w:proofErr w:type="spellEnd"/>
            <w:r w:rsidRPr="009B39EC">
              <w:rPr>
                <w:rFonts w:ascii="Arial" w:eastAsia="Times New Roman" w:hAnsi="Arial" w:cs="Arial"/>
                <w:color w:val="000000"/>
                <w:sz w:val="20"/>
                <w:szCs w:val="20"/>
                <w:lang w:val="en-US"/>
              </w:rPr>
              <w:t xml:space="preserve"> Budgeting</w:t>
            </w:r>
          </w:p>
        </w:tc>
        <w:tc>
          <w:tcPr>
            <w:tcW w:w="1690" w:type="dxa"/>
            <w:tcBorders>
              <w:top w:val="nil"/>
              <w:left w:val="nil"/>
              <w:bottom w:val="single" w:sz="4" w:space="0" w:color="auto"/>
              <w:right w:val="single" w:sz="4" w:space="0" w:color="auto"/>
            </w:tcBorders>
            <w:shd w:val="clear" w:color="auto" w:fill="auto"/>
            <w:vAlign w:val="center"/>
            <w:hideMark/>
          </w:tcPr>
          <w:p w14:paraId="152B2B32" w14:textId="2EF7D446"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688" w:type="dxa"/>
            <w:tcBorders>
              <w:top w:val="nil"/>
              <w:left w:val="nil"/>
              <w:bottom w:val="single" w:sz="4" w:space="0" w:color="auto"/>
              <w:right w:val="single" w:sz="4" w:space="0" w:color="auto"/>
            </w:tcBorders>
            <w:shd w:val="clear" w:color="auto" w:fill="auto"/>
            <w:noWrap/>
            <w:vAlign w:val="center"/>
            <w:hideMark/>
          </w:tcPr>
          <w:p w14:paraId="3424E3AC"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77</w:t>
            </w:r>
          </w:p>
        </w:tc>
        <w:tc>
          <w:tcPr>
            <w:tcW w:w="1688" w:type="dxa"/>
            <w:tcBorders>
              <w:top w:val="nil"/>
              <w:left w:val="nil"/>
              <w:bottom w:val="single" w:sz="4" w:space="0" w:color="auto"/>
              <w:right w:val="single" w:sz="4" w:space="0" w:color="auto"/>
            </w:tcBorders>
            <w:shd w:val="clear" w:color="auto" w:fill="auto"/>
            <w:noWrap/>
            <w:vAlign w:val="center"/>
            <w:hideMark/>
          </w:tcPr>
          <w:p w14:paraId="063F1468"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w:t>
            </w:r>
          </w:p>
        </w:tc>
        <w:tc>
          <w:tcPr>
            <w:tcW w:w="1688" w:type="dxa"/>
            <w:tcBorders>
              <w:top w:val="nil"/>
              <w:left w:val="nil"/>
              <w:bottom w:val="single" w:sz="4" w:space="0" w:color="auto"/>
              <w:right w:val="single" w:sz="4" w:space="0" w:color="auto"/>
            </w:tcBorders>
            <w:shd w:val="clear" w:color="auto" w:fill="auto"/>
            <w:noWrap/>
            <w:vAlign w:val="center"/>
            <w:hideMark/>
          </w:tcPr>
          <w:p w14:paraId="3CFE81DE" w14:textId="77777777" w:rsidR="008D793A" w:rsidRPr="009B39EC" w:rsidRDefault="008D793A"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74</w:t>
            </w:r>
          </w:p>
        </w:tc>
      </w:tr>
      <w:tr w:rsidR="008D793A" w:rsidRPr="009B39EC" w14:paraId="5A6F3C15" w14:textId="77777777" w:rsidTr="00C76105">
        <w:trPr>
          <w:trHeight w:val="781"/>
        </w:trPr>
        <w:tc>
          <w:tcPr>
            <w:tcW w:w="4947"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5C6A5050" w14:textId="77777777"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 xml:space="preserve">Total </w:t>
            </w:r>
          </w:p>
        </w:tc>
        <w:tc>
          <w:tcPr>
            <w:tcW w:w="1688" w:type="dxa"/>
            <w:tcBorders>
              <w:top w:val="nil"/>
              <w:left w:val="nil"/>
              <w:bottom w:val="single" w:sz="4" w:space="0" w:color="auto"/>
              <w:right w:val="single" w:sz="4" w:space="0" w:color="auto"/>
            </w:tcBorders>
            <w:shd w:val="clear" w:color="000000" w:fill="DDEBF7"/>
            <w:noWrap/>
            <w:vAlign w:val="center"/>
            <w:hideMark/>
          </w:tcPr>
          <w:p w14:paraId="7597EF11" w14:textId="77777777"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201</w:t>
            </w:r>
          </w:p>
        </w:tc>
        <w:tc>
          <w:tcPr>
            <w:tcW w:w="1688" w:type="dxa"/>
            <w:tcBorders>
              <w:top w:val="nil"/>
              <w:left w:val="nil"/>
              <w:bottom w:val="single" w:sz="4" w:space="0" w:color="auto"/>
              <w:right w:val="single" w:sz="4" w:space="0" w:color="auto"/>
            </w:tcBorders>
            <w:shd w:val="clear" w:color="000000" w:fill="DDEBF7"/>
            <w:noWrap/>
            <w:vAlign w:val="center"/>
            <w:hideMark/>
          </w:tcPr>
          <w:p w14:paraId="60BB4F7E" w14:textId="77777777"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17</w:t>
            </w:r>
          </w:p>
        </w:tc>
        <w:tc>
          <w:tcPr>
            <w:tcW w:w="1688" w:type="dxa"/>
            <w:tcBorders>
              <w:top w:val="nil"/>
              <w:left w:val="nil"/>
              <w:bottom w:val="single" w:sz="4" w:space="0" w:color="auto"/>
              <w:right w:val="single" w:sz="4" w:space="0" w:color="auto"/>
            </w:tcBorders>
            <w:shd w:val="clear" w:color="000000" w:fill="DDEBF7"/>
            <w:noWrap/>
            <w:vAlign w:val="center"/>
            <w:hideMark/>
          </w:tcPr>
          <w:p w14:paraId="0CE57968" w14:textId="77777777" w:rsidR="008D793A" w:rsidRPr="009B39EC" w:rsidRDefault="008D793A"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184</w:t>
            </w:r>
          </w:p>
        </w:tc>
      </w:tr>
    </w:tbl>
    <w:p w14:paraId="0A1C8740" w14:textId="77777777" w:rsidR="000157E7" w:rsidRPr="009B39EC" w:rsidRDefault="000157E7" w:rsidP="00A33F2E">
      <w:pPr>
        <w:spacing w:after="0" w:line="240" w:lineRule="auto"/>
        <w:jc w:val="both"/>
        <w:rPr>
          <w:rFonts w:ascii="Arial" w:hAnsi="Arial" w:cs="Arial"/>
          <w:sz w:val="20"/>
          <w:szCs w:val="20"/>
          <w:lang w:val="en-GB"/>
        </w:rPr>
      </w:pPr>
    </w:p>
    <w:p w14:paraId="4E0B208B" w14:textId="77777777" w:rsidR="000157E7" w:rsidRPr="009B39EC" w:rsidRDefault="000157E7" w:rsidP="00A33F2E">
      <w:pPr>
        <w:spacing w:after="0" w:line="240" w:lineRule="auto"/>
        <w:jc w:val="both"/>
        <w:rPr>
          <w:rFonts w:ascii="Arial" w:hAnsi="Arial" w:cs="Arial"/>
          <w:sz w:val="20"/>
          <w:szCs w:val="20"/>
          <w:lang w:val="en-GB"/>
        </w:rPr>
      </w:pPr>
    </w:p>
    <w:p w14:paraId="2731A466" w14:textId="6E27A3DF" w:rsidR="008D793A" w:rsidRPr="009B39EC" w:rsidRDefault="000157E7"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In 2020, ASPA trained 1136 participants on topics related to the Istanbul Convention.</w:t>
      </w:r>
    </w:p>
    <w:p w14:paraId="01C690E9" w14:textId="0D385893" w:rsidR="000157E7" w:rsidRPr="009B39EC" w:rsidRDefault="000157E7" w:rsidP="00A33F2E">
      <w:pPr>
        <w:spacing w:after="0" w:line="240" w:lineRule="auto"/>
        <w:jc w:val="both"/>
        <w:rPr>
          <w:rFonts w:ascii="Arial" w:hAnsi="Arial" w:cs="Arial"/>
          <w:sz w:val="20"/>
          <w:szCs w:val="20"/>
          <w:lang w:val="en-GB"/>
        </w:rPr>
      </w:pPr>
    </w:p>
    <w:p w14:paraId="45AAABAF" w14:textId="2D00FB9C" w:rsidR="000157E7" w:rsidRPr="009B39EC" w:rsidRDefault="000157E7"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t>Table 2: Data on trainings related to the Istanbul Convention for 2020.</w:t>
      </w:r>
    </w:p>
    <w:p w14:paraId="65380B76" w14:textId="77777777" w:rsidR="000157E7" w:rsidRPr="009B39EC" w:rsidRDefault="000157E7" w:rsidP="000157E7">
      <w:pPr>
        <w:spacing w:after="0" w:line="360" w:lineRule="auto"/>
        <w:jc w:val="both"/>
        <w:rPr>
          <w:rFonts w:ascii="Arial" w:hAnsi="Arial" w:cs="Arial"/>
          <w:sz w:val="20"/>
          <w:szCs w:val="20"/>
        </w:rPr>
      </w:pPr>
    </w:p>
    <w:tbl>
      <w:tblPr>
        <w:tblW w:w="9698" w:type="dxa"/>
        <w:tblInd w:w="118" w:type="dxa"/>
        <w:tblLook w:val="04A0" w:firstRow="1" w:lastRow="0" w:firstColumn="1" w:lastColumn="0" w:noHBand="0" w:noVBand="1"/>
      </w:tblPr>
      <w:tblGrid>
        <w:gridCol w:w="1026"/>
        <w:gridCol w:w="2202"/>
        <w:gridCol w:w="2203"/>
        <w:gridCol w:w="1546"/>
        <w:gridCol w:w="1546"/>
        <w:gridCol w:w="1175"/>
      </w:tblGrid>
      <w:tr w:rsidR="000157E7" w:rsidRPr="009B39EC" w14:paraId="29E5D7C9" w14:textId="77777777" w:rsidTr="000157E7">
        <w:trPr>
          <w:trHeight w:val="1006"/>
        </w:trPr>
        <w:tc>
          <w:tcPr>
            <w:tcW w:w="1026" w:type="dxa"/>
            <w:tcBorders>
              <w:top w:val="single" w:sz="8" w:space="0" w:color="auto"/>
              <w:left w:val="single" w:sz="8" w:space="0" w:color="auto"/>
              <w:bottom w:val="nil"/>
              <w:right w:val="single" w:sz="8" w:space="0" w:color="auto"/>
            </w:tcBorders>
            <w:shd w:val="clear" w:color="000000" w:fill="5B9BD5"/>
            <w:vAlign w:val="center"/>
            <w:hideMark/>
          </w:tcPr>
          <w:p w14:paraId="321CA634" w14:textId="7C77AB7E" w:rsidR="000157E7" w:rsidRPr="009B39EC" w:rsidRDefault="000157E7" w:rsidP="000157E7">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No</w:t>
            </w:r>
          </w:p>
        </w:tc>
        <w:tc>
          <w:tcPr>
            <w:tcW w:w="2202" w:type="dxa"/>
            <w:tcBorders>
              <w:top w:val="single" w:sz="8" w:space="0" w:color="auto"/>
              <w:left w:val="nil"/>
              <w:bottom w:val="nil"/>
              <w:right w:val="single" w:sz="8" w:space="0" w:color="auto"/>
            </w:tcBorders>
            <w:shd w:val="clear" w:color="000000" w:fill="5B9BD5"/>
            <w:vAlign w:val="center"/>
            <w:hideMark/>
          </w:tcPr>
          <w:p w14:paraId="1020E7CB" w14:textId="57BD9B73" w:rsidR="000157E7" w:rsidRPr="009B39EC" w:rsidRDefault="000157E7" w:rsidP="000157E7">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Training topic</w:t>
            </w:r>
          </w:p>
        </w:tc>
        <w:tc>
          <w:tcPr>
            <w:tcW w:w="2203" w:type="dxa"/>
            <w:tcBorders>
              <w:top w:val="single" w:sz="8" w:space="0" w:color="auto"/>
              <w:left w:val="nil"/>
              <w:bottom w:val="single" w:sz="8" w:space="0" w:color="auto"/>
              <w:right w:val="single" w:sz="8" w:space="0" w:color="auto"/>
            </w:tcBorders>
            <w:shd w:val="clear" w:color="000000" w:fill="5B9BD5"/>
            <w:vAlign w:val="center"/>
            <w:hideMark/>
          </w:tcPr>
          <w:p w14:paraId="5969147C" w14:textId="6FA63CC4" w:rsidR="000157E7" w:rsidRPr="009B39EC" w:rsidRDefault="000157E7" w:rsidP="000157E7">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Training module</w:t>
            </w:r>
          </w:p>
        </w:tc>
        <w:tc>
          <w:tcPr>
            <w:tcW w:w="1546" w:type="dxa"/>
            <w:tcBorders>
              <w:top w:val="single" w:sz="8" w:space="0" w:color="auto"/>
              <w:left w:val="nil"/>
              <w:bottom w:val="nil"/>
              <w:right w:val="single" w:sz="8" w:space="0" w:color="auto"/>
            </w:tcBorders>
            <w:shd w:val="clear" w:color="000000" w:fill="5B9BD5"/>
            <w:vAlign w:val="center"/>
            <w:hideMark/>
          </w:tcPr>
          <w:p w14:paraId="2F43CCAA" w14:textId="6BAE23A0" w:rsidR="000157E7" w:rsidRPr="009B39EC" w:rsidRDefault="000157E7" w:rsidP="000157E7">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 xml:space="preserve">Trained persons </w:t>
            </w:r>
          </w:p>
        </w:tc>
        <w:tc>
          <w:tcPr>
            <w:tcW w:w="1546" w:type="dxa"/>
            <w:tcBorders>
              <w:top w:val="single" w:sz="8" w:space="0" w:color="auto"/>
              <w:left w:val="nil"/>
              <w:bottom w:val="nil"/>
              <w:right w:val="single" w:sz="8" w:space="0" w:color="auto"/>
            </w:tcBorders>
            <w:shd w:val="clear" w:color="000000" w:fill="5B9BD5"/>
            <w:vAlign w:val="center"/>
            <w:hideMark/>
          </w:tcPr>
          <w:p w14:paraId="570F53A6" w14:textId="2C855D3A" w:rsidR="000157E7" w:rsidRPr="009B39EC" w:rsidRDefault="000157E7" w:rsidP="000157E7">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Females</w:t>
            </w:r>
          </w:p>
        </w:tc>
        <w:tc>
          <w:tcPr>
            <w:tcW w:w="1175" w:type="dxa"/>
            <w:tcBorders>
              <w:top w:val="single" w:sz="8" w:space="0" w:color="auto"/>
              <w:left w:val="nil"/>
              <w:bottom w:val="nil"/>
              <w:right w:val="single" w:sz="8" w:space="0" w:color="auto"/>
            </w:tcBorders>
            <w:shd w:val="clear" w:color="000000" w:fill="5B9BD5"/>
            <w:vAlign w:val="center"/>
            <w:hideMark/>
          </w:tcPr>
          <w:p w14:paraId="0208E27F" w14:textId="715109A7" w:rsidR="000157E7" w:rsidRPr="009B39EC" w:rsidRDefault="000157E7" w:rsidP="000157E7">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Males</w:t>
            </w:r>
          </w:p>
        </w:tc>
      </w:tr>
      <w:tr w:rsidR="000157E7" w:rsidRPr="009B39EC" w14:paraId="043FD0B4" w14:textId="77777777" w:rsidTr="000157E7">
        <w:trPr>
          <w:trHeight w:val="1401"/>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415F5"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14:paraId="591B43F9" w14:textId="359A41AA"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Protecting the rights of civil servants at European level</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14:paraId="060B9DEC" w14:textId="4001F2EE"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06B620E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28</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14182FC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7EEDCF8A"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w:t>
            </w:r>
          </w:p>
        </w:tc>
      </w:tr>
      <w:tr w:rsidR="000157E7" w:rsidRPr="009B39EC" w14:paraId="5D70CCC8"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1F364EB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lastRenderedPageBreak/>
              <w:t>2</w:t>
            </w:r>
          </w:p>
        </w:tc>
        <w:tc>
          <w:tcPr>
            <w:tcW w:w="2202" w:type="dxa"/>
            <w:tcBorders>
              <w:top w:val="nil"/>
              <w:left w:val="nil"/>
              <w:bottom w:val="single" w:sz="4" w:space="0" w:color="auto"/>
              <w:right w:val="single" w:sz="4" w:space="0" w:color="auto"/>
            </w:tcBorders>
            <w:shd w:val="clear" w:color="auto" w:fill="auto"/>
            <w:vAlign w:val="center"/>
            <w:hideMark/>
          </w:tcPr>
          <w:p w14:paraId="0176038B" w14:textId="39AB29A9"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Domestic violence and the role of responsible authorities</w:t>
            </w:r>
          </w:p>
        </w:tc>
        <w:tc>
          <w:tcPr>
            <w:tcW w:w="2203" w:type="dxa"/>
            <w:tcBorders>
              <w:top w:val="nil"/>
              <w:left w:val="nil"/>
              <w:bottom w:val="single" w:sz="4" w:space="0" w:color="auto"/>
              <w:right w:val="single" w:sz="4" w:space="0" w:color="auto"/>
            </w:tcBorders>
            <w:shd w:val="clear" w:color="auto" w:fill="auto"/>
            <w:vAlign w:val="center"/>
            <w:hideMark/>
          </w:tcPr>
          <w:p w14:paraId="2772AF28" w14:textId="01F85729"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Domestic violence and the role of responsible authorities</w:t>
            </w:r>
          </w:p>
        </w:tc>
        <w:tc>
          <w:tcPr>
            <w:tcW w:w="1546" w:type="dxa"/>
            <w:tcBorders>
              <w:top w:val="nil"/>
              <w:left w:val="nil"/>
              <w:bottom w:val="single" w:sz="4" w:space="0" w:color="auto"/>
              <w:right w:val="single" w:sz="4" w:space="0" w:color="auto"/>
            </w:tcBorders>
            <w:shd w:val="clear" w:color="auto" w:fill="auto"/>
            <w:noWrap/>
            <w:vAlign w:val="center"/>
            <w:hideMark/>
          </w:tcPr>
          <w:p w14:paraId="75B66C31"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28</w:t>
            </w:r>
          </w:p>
        </w:tc>
        <w:tc>
          <w:tcPr>
            <w:tcW w:w="1546" w:type="dxa"/>
            <w:tcBorders>
              <w:top w:val="nil"/>
              <w:left w:val="nil"/>
              <w:bottom w:val="single" w:sz="4" w:space="0" w:color="auto"/>
              <w:right w:val="single" w:sz="4" w:space="0" w:color="auto"/>
            </w:tcBorders>
            <w:shd w:val="clear" w:color="auto" w:fill="auto"/>
            <w:noWrap/>
            <w:vAlign w:val="center"/>
            <w:hideMark/>
          </w:tcPr>
          <w:p w14:paraId="7261974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26</w:t>
            </w:r>
          </w:p>
        </w:tc>
        <w:tc>
          <w:tcPr>
            <w:tcW w:w="1175" w:type="dxa"/>
            <w:tcBorders>
              <w:top w:val="nil"/>
              <w:left w:val="nil"/>
              <w:bottom w:val="single" w:sz="4" w:space="0" w:color="auto"/>
              <w:right w:val="single" w:sz="4" w:space="0" w:color="auto"/>
            </w:tcBorders>
            <w:shd w:val="clear" w:color="auto" w:fill="auto"/>
            <w:noWrap/>
            <w:vAlign w:val="center"/>
            <w:hideMark/>
          </w:tcPr>
          <w:p w14:paraId="24F4C68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w:t>
            </w:r>
          </w:p>
        </w:tc>
      </w:tr>
      <w:tr w:rsidR="000157E7" w:rsidRPr="009B39EC" w14:paraId="54E37577"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B6D0725"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w:t>
            </w:r>
          </w:p>
        </w:tc>
        <w:tc>
          <w:tcPr>
            <w:tcW w:w="2202" w:type="dxa"/>
            <w:tcBorders>
              <w:top w:val="nil"/>
              <w:left w:val="nil"/>
              <w:bottom w:val="single" w:sz="4" w:space="0" w:color="auto"/>
              <w:right w:val="single" w:sz="4" w:space="0" w:color="auto"/>
            </w:tcBorders>
            <w:shd w:val="clear" w:color="auto" w:fill="auto"/>
            <w:vAlign w:val="center"/>
            <w:hideMark/>
          </w:tcPr>
          <w:p w14:paraId="30B80543" w14:textId="44C72BDA"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quotas in decision-making bodies</w:t>
            </w:r>
          </w:p>
        </w:tc>
        <w:tc>
          <w:tcPr>
            <w:tcW w:w="2203" w:type="dxa"/>
            <w:tcBorders>
              <w:top w:val="nil"/>
              <w:left w:val="nil"/>
              <w:bottom w:val="single" w:sz="4" w:space="0" w:color="auto"/>
              <w:right w:val="single" w:sz="4" w:space="0" w:color="auto"/>
            </w:tcBorders>
            <w:shd w:val="clear" w:color="auto" w:fill="auto"/>
            <w:vAlign w:val="center"/>
            <w:hideMark/>
          </w:tcPr>
          <w:p w14:paraId="1EAEA79F" w14:textId="1D62403F"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2D612EC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22</w:t>
            </w:r>
          </w:p>
        </w:tc>
        <w:tc>
          <w:tcPr>
            <w:tcW w:w="1546" w:type="dxa"/>
            <w:tcBorders>
              <w:top w:val="nil"/>
              <w:left w:val="nil"/>
              <w:bottom w:val="single" w:sz="4" w:space="0" w:color="auto"/>
              <w:right w:val="single" w:sz="4" w:space="0" w:color="auto"/>
            </w:tcBorders>
            <w:shd w:val="clear" w:color="auto" w:fill="auto"/>
            <w:noWrap/>
            <w:vAlign w:val="center"/>
            <w:hideMark/>
          </w:tcPr>
          <w:p w14:paraId="044CE5C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19</w:t>
            </w:r>
          </w:p>
        </w:tc>
        <w:tc>
          <w:tcPr>
            <w:tcW w:w="1175" w:type="dxa"/>
            <w:tcBorders>
              <w:top w:val="nil"/>
              <w:left w:val="nil"/>
              <w:bottom w:val="single" w:sz="4" w:space="0" w:color="auto"/>
              <w:right w:val="single" w:sz="4" w:space="0" w:color="auto"/>
            </w:tcBorders>
            <w:shd w:val="clear" w:color="auto" w:fill="auto"/>
            <w:noWrap/>
            <w:vAlign w:val="center"/>
            <w:hideMark/>
          </w:tcPr>
          <w:p w14:paraId="151800CD"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w:t>
            </w:r>
          </w:p>
        </w:tc>
      </w:tr>
      <w:tr w:rsidR="000157E7" w:rsidRPr="009B39EC" w14:paraId="2031AE85"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51E2A8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w:t>
            </w:r>
          </w:p>
        </w:tc>
        <w:tc>
          <w:tcPr>
            <w:tcW w:w="2202" w:type="dxa"/>
            <w:tcBorders>
              <w:top w:val="nil"/>
              <w:left w:val="nil"/>
              <w:bottom w:val="single" w:sz="4" w:space="0" w:color="auto"/>
              <w:right w:val="single" w:sz="4" w:space="0" w:color="auto"/>
            </w:tcBorders>
            <w:shd w:val="clear" w:color="auto" w:fill="auto"/>
            <w:vAlign w:val="center"/>
            <w:hideMark/>
          </w:tcPr>
          <w:p w14:paraId="61523DC8" w14:textId="27ECB370"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The burden of proof in cases of discrimination in public administration</w:t>
            </w:r>
            <w:r w:rsidR="000157E7" w:rsidRPr="009B39EC">
              <w:rPr>
                <w:rFonts w:ascii="Arial" w:eastAsia="Times New Roman" w:hAnsi="Arial" w:cs="Arial"/>
                <w:color w:val="000000"/>
                <w:sz w:val="20"/>
                <w:szCs w:val="20"/>
                <w:lang w:val="en-US"/>
              </w:rPr>
              <w:t>.</w:t>
            </w:r>
          </w:p>
        </w:tc>
        <w:tc>
          <w:tcPr>
            <w:tcW w:w="2203" w:type="dxa"/>
            <w:tcBorders>
              <w:top w:val="nil"/>
              <w:left w:val="nil"/>
              <w:bottom w:val="single" w:sz="4" w:space="0" w:color="auto"/>
              <w:right w:val="single" w:sz="4" w:space="0" w:color="auto"/>
            </w:tcBorders>
            <w:shd w:val="clear" w:color="auto" w:fill="auto"/>
            <w:vAlign w:val="center"/>
            <w:hideMark/>
          </w:tcPr>
          <w:p w14:paraId="2B18F919" w14:textId="525651DC"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78190CF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45</w:t>
            </w:r>
          </w:p>
        </w:tc>
        <w:tc>
          <w:tcPr>
            <w:tcW w:w="1546" w:type="dxa"/>
            <w:tcBorders>
              <w:top w:val="nil"/>
              <w:left w:val="nil"/>
              <w:bottom w:val="single" w:sz="4" w:space="0" w:color="auto"/>
              <w:right w:val="single" w:sz="4" w:space="0" w:color="auto"/>
            </w:tcBorders>
            <w:shd w:val="clear" w:color="auto" w:fill="auto"/>
            <w:noWrap/>
            <w:vAlign w:val="center"/>
            <w:hideMark/>
          </w:tcPr>
          <w:p w14:paraId="74128A1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37</w:t>
            </w:r>
          </w:p>
        </w:tc>
        <w:tc>
          <w:tcPr>
            <w:tcW w:w="1175" w:type="dxa"/>
            <w:tcBorders>
              <w:top w:val="nil"/>
              <w:left w:val="nil"/>
              <w:bottom w:val="single" w:sz="4" w:space="0" w:color="auto"/>
              <w:right w:val="single" w:sz="4" w:space="0" w:color="auto"/>
            </w:tcBorders>
            <w:shd w:val="clear" w:color="auto" w:fill="auto"/>
            <w:noWrap/>
            <w:vAlign w:val="center"/>
            <w:hideMark/>
          </w:tcPr>
          <w:p w14:paraId="064856AC"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8</w:t>
            </w:r>
          </w:p>
        </w:tc>
      </w:tr>
      <w:tr w:rsidR="000157E7" w:rsidRPr="009B39EC" w14:paraId="45121246"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2D00FA5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w:t>
            </w:r>
          </w:p>
        </w:tc>
        <w:tc>
          <w:tcPr>
            <w:tcW w:w="2202" w:type="dxa"/>
            <w:tcBorders>
              <w:top w:val="nil"/>
              <w:left w:val="nil"/>
              <w:bottom w:val="single" w:sz="4" w:space="0" w:color="auto"/>
              <w:right w:val="single" w:sz="4" w:space="0" w:color="auto"/>
            </w:tcBorders>
            <w:shd w:val="clear" w:color="auto" w:fill="auto"/>
            <w:vAlign w:val="center"/>
            <w:hideMark/>
          </w:tcPr>
          <w:p w14:paraId="19907CCD" w14:textId="2AE14ACF"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responsive budgeting in the local government budget program</w:t>
            </w:r>
          </w:p>
        </w:tc>
        <w:tc>
          <w:tcPr>
            <w:tcW w:w="2203" w:type="dxa"/>
            <w:tcBorders>
              <w:top w:val="nil"/>
              <w:left w:val="nil"/>
              <w:bottom w:val="single" w:sz="4" w:space="0" w:color="auto"/>
              <w:right w:val="single" w:sz="4" w:space="0" w:color="auto"/>
            </w:tcBorders>
            <w:shd w:val="clear" w:color="auto" w:fill="auto"/>
            <w:vAlign w:val="center"/>
            <w:hideMark/>
          </w:tcPr>
          <w:p w14:paraId="571089DB" w14:textId="16D2DC1B"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responsive budgeting in the local government budget program</w:t>
            </w:r>
          </w:p>
        </w:tc>
        <w:tc>
          <w:tcPr>
            <w:tcW w:w="1546" w:type="dxa"/>
            <w:tcBorders>
              <w:top w:val="nil"/>
              <w:left w:val="nil"/>
              <w:bottom w:val="single" w:sz="4" w:space="0" w:color="auto"/>
              <w:right w:val="single" w:sz="4" w:space="0" w:color="auto"/>
            </w:tcBorders>
            <w:shd w:val="clear" w:color="auto" w:fill="auto"/>
            <w:noWrap/>
            <w:vAlign w:val="center"/>
            <w:hideMark/>
          </w:tcPr>
          <w:p w14:paraId="3085780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30</w:t>
            </w:r>
          </w:p>
        </w:tc>
        <w:tc>
          <w:tcPr>
            <w:tcW w:w="1546" w:type="dxa"/>
            <w:tcBorders>
              <w:top w:val="nil"/>
              <w:left w:val="nil"/>
              <w:bottom w:val="single" w:sz="4" w:space="0" w:color="auto"/>
              <w:right w:val="single" w:sz="4" w:space="0" w:color="auto"/>
            </w:tcBorders>
            <w:shd w:val="clear" w:color="auto" w:fill="auto"/>
            <w:noWrap/>
            <w:vAlign w:val="center"/>
            <w:hideMark/>
          </w:tcPr>
          <w:p w14:paraId="0B5AFD8A"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24</w:t>
            </w:r>
          </w:p>
        </w:tc>
        <w:tc>
          <w:tcPr>
            <w:tcW w:w="1175" w:type="dxa"/>
            <w:tcBorders>
              <w:top w:val="nil"/>
              <w:left w:val="nil"/>
              <w:bottom w:val="single" w:sz="4" w:space="0" w:color="auto"/>
              <w:right w:val="single" w:sz="4" w:space="0" w:color="auto"/>
            </w:tcBorders>
            <w:shd w:val="clear" w:color="auto" w:fill="auto"/>
            <w:noWrap/>
            <w:vAlign w:val="center"/>
            <w:hideMark/>
          </w:tcPr>
          <w:p w14:paraId="3CBD4BC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w:t>
            </w:r>
          </w:p>
        </w:tc>
      </w:tr>
      <w:tr w:rsidR="000157E7" w:rsidRPr="009B39EC" w14:paraId="3566BD3E"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6153EB9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w:t>
            </w:r>
          </w:p>
        </w:tc>
        <w:tc>
          <w:tcPr>
            <w:tcW w:w="2202" w:type="dxa"/>
            <w:tcBorders>
              <w:top w:val="nil"/>
              <w:left w:val="nil"/>
              <w:bottom w:val="single" w:sz="4" w:space="0" w:color="auto"/>
              <w:right w:val="single" w:sz="4" w:space="0" w:color="auto"/>
            </w:tcBorders>
            <w:shd w:val="clear" w:color="auto" w:fill="auto"/>
            <w:vAlign w:val="center"/>
            <w:hideMark/>
          </w:tcPr>
          <w:p w14:paraId="6B8293E4" w14:textId="0BFE4538"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Cycle of gender analysis of public budgets</w:t>
            </w:r>
          </w:p>
        </w:tc>
        <w:tc>
          <w:tcPr>
            <w:tcW w:w="2203" w:type="dxa"/>
            <w:tcBorders>
              <w:top w:val="nil"/>
              <w:left w:val="nil"/>
              <w:bottom w:val="single" w:sz="4" w:space="0" w:color="auto"/>
              <w:right w:val="single" w:sz="4" w:space="0" w:color="auto"/>
            </w:tcBorders>
            <w:shd w:val="clear" w:color="auto" w:fill="auto"/>
            <w:vAlign w:val="center"/>
            <w:hideMark/>
          </w:tcPr>
          <w:p w14:paraId="0B7071F7" w14:textId="191B54B9"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73D0C600"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14</w:t>
            </w:r>
          </w:p>
        </w:tc>
        <w:tc>
          <w:tcPr>
            <w:tcW w:w="1546" w:type="dxa"/>
            <w:tcBorders>
              <w:top w:val="nil"/>
              <w:left w:val="nil"/>
              <w:bottom w:val="single" w:sz="4" w:space="0" w:color="auto"/>
              <w:right w:val="single" w:sz="4" w:space="0" w:color="auto"/>
            </w:tcBorders>
            <w:shd w:val="clear" w:color="auto" w:fill="auto"/>
            <w:noWrap/>
            <w:vAlign w:val="center"/>
            <w:hideMark/>
          </w:tcPr>
          <w:p w14:paraId="2B48F3D3"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10</w:t>
            </w:r>
          </w:p>
        </w:tc>
        <w:tc>
          <w:tcPr>
            <w:tcW w:w="1175" w:type="dxa"/>
            <w:tcBorders>
              <w:top w:val="nil"/>
              <w:left w:val="nil"/>
              <w:bottom w:val="single" w:sz="4" w:space="0" w:color="auto"/>
              <w:right w:val="single" w:sz="4" w:space="0" w:color="auto"/>
            </w:tcBorders>
            <w:shd w:val="clear" w:color="auto" w:fill="auto"/>
            <w:noWrap/>
            <w:vAlign w:val="center"/>
            <w:hideMark/>
          </w:tcPr>
          <w:p w14:paraId="28BEA90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w:t>
            </w:r>
          </w:p>
        </w:tc>
      </w:tr>
      <w:tr w:rsidR="000157E7" w:rsidRPr="009B39EC" w14:paraId="47871730"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176D59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w:t>
            </w:r>
          </w:p>
        </w:tc>
        <w:tc>
          <w:tcPr>
            <w:tcW w:w="2202" w:type="dxa"/>
            <w:tcBorders>
              <w:top w:val="nil"/>
              <w:left w:val="nil"/>
              <w:bottom w:val="single" w:sz="4" w:space="0" w:color="auto"/>
              <w:right w:val="single" w:sz="4" w:space="0" w:color="auto"/>
            </w:tcBorders>
            <w:shd w:val="clear" w:color="000000" w:fill="FFFFFF"/>
            <w:vAlign w:val="center"/>
            <w:hideMark/>
          </w:tcPr>
          <w:p w14:paraId="06ED6C3C" w14:textId="72C2599E"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 xml:space="preserve">Child protection services - </w:t>
            </w:r>
            <w:proofErr w:type="spellStart"/>
            <w:r w:rsidRPr="009B39EC">
              <w:rPr>
                <w:rFonts w:ascii="Arial" w:eastAsia="Times New Roman" w:hAnsi="Arial" w:cs="Arial"/>
                <w:color w:val="212121"/>
                <w:sz w:val="20"/>
                <w:szCs w:val="20"/>
                <w:lang w:val="en-US"/>
              </w:rPr>
              <w:t>Kukës</w:t>
            </w:r>
            <w:proofErr w:type="spellEnd"/>
            <w:r w:rsidRPr="009B39EC">
              <w:rPr>
                <w:rFonts w:ascii="Arial" w:eastAsia="Times New Roman" w:hAnsi="Arial" w:cs="Arial"/>
                <w:color w:val="212121"/>
                <w:sz w:val="20"/>
                <w:szCs w:val="20"/>
                <w:lang w:val="en-US"/>
              </w:rPr>
              <w:t xml:space="preserve"> region</w:t>
            </w:r>
          </w:p>
        </w:tc>
        <w:tc>
          <w:tcPr>
            <w:tcW w:w="2203" w:type="dxa"/>
            <w:tcBorders>
              <w:top w:val="nil"/>
              <w:left w:val="nil"/>
              <w:bottom w:val="single" w:sz="4" w:space="0" w:color="auto"/>
              <w:right w:val="single" w:sz="4" w:space="0" w:color="auto"/>
            </w:tcBorders>
            <w:shd w:val="clear" w:color="auto" w:fill="auto"/>
            <w:vAlign w:val="center"/>
            <w:hideMark/>
          </w:tcPr>
          <w:p w14:paraId="5D5DF3DD" w14:textId="5B43687C"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78615CB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12</w:t>
            </w:r>
          </w:p>
        </w:tc>
        <w:tc>
          <w:tcPr>
            <w:tcW w:w="1546" w:type="dxa"/>
            <w:tcBorders>
              <w:top w:val="nil"/>
              <w:left w:val="nil"/>
              <w:bottom w:val="single" w:sz="4" w:space="0" w:color="auto"/>
              <w:right w:val="single" w:sz="4" w:space="0" w:color="auto"/>
            </w:tcBorders>
            <w:shd w:val="clear" w:color="auto" w:fill="auto"/>
            <w:noWrap/>
            <w:vAlign w:val="center"/>
            <w:hideMark/>
          </w:tcPr>
          <w:p w14:paraId="4A2EED3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11</w:t>
            </w:r>
          </w:p>
        </w:tc>
        <w:tc>
          <w:tcPr>
            <w:tcW w:w="1175" w:type="dxa"/>
            <w:tcBorders>
              <w:top w:val="nil"/>
              <w:left w:val="nil"/>
              <w:bottom w:val="single" w:sz="4" w:space="0" w:color="auto"/>
              <w:right w:val="single" w:sz="4" w:space="0" w:color="auto"/>
            </w:tcBorders>
            <w:shd w:val="clear" w:color="auto" w:fill="auto"/>
            <w:noWrap/>
            <w:vAlign w:val="center"/>
            <w:hideMark/>
          </w:tcPr>
          <w:p w14:paraId="054F1FE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r>
      <w:tr w:rsidR="000157E7" w:rsidRPr="009B39EC" w14:paraId="7E551A62"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2491707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8</w:t>
            </w:r>
          </w:p>
        </w:tc>
        <w:tc>
          <w:tcPr>
            <w:tcW w:w="2202" w:type="dxa"/>
            <w:tcBorders>
              <w:top w:val="nil"/>
              <w:left w:val="nil"/>
              <w:bottom w:val="single" w:sz="4" w:space="0" w:color="auto"/>
              <w:right w:val="single" w:sz="4" w:space="0" w:color="auto"/>
            </w:tcBorders>
            <w:shd w:val="clear" w:color="000000" w:fill="FFFFFF"/>
            <w:vAlign w:val="center"/>
            <w:hideMark/>
          </w:tcPr>
          <w:p w14:paraId="7A9471E0" w14:textId="653B38AF"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Child protection services - Tirana region</w:t>
            </w:r>
          </w:p>
        </w:tc>
        <w:tc>
          <w:tcPr>
            <w:tcW w:w="2203" w:type="dxa"/>
            <w:tcBorders>
              <w:top w:val="nil"/>
              <w:left w:val="nil"/>
              <w:bottom w:val="single" w:sz="4" w:space="0" w:color="auto"/>
              <w:right w:val="single" w:sz="4" w:space="0" w:color="auto"/>
            </w:tcBorders>
            <w:shd w:val="clear" w:color="auto" w:fill="auto"/>
            <w:vAlign w:val="center"/>
            <w:hideMark/>
          </w:tcPr>
          <w:p w14:paraId="2BE186C0" w14:textId="3F79BC9A"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05FB4EA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23</w:t>
            </w:r>
          </w:p>
        </w:tc>
        <w:tc>
          <w:tcPr>
            <w:tcW w:w="1546" w:type="dxa"/>
            <w:tcBorders>
              <w:top w:val="nil"/>
              <w:left w:val="nil"/>
              <w:bottom w:val="single" w:sz="4" w:space="0" w:color="auto"/>
              <w:right w:val="single" w:sz="4" w:space="0" w:color="auto"/>
            </w:tcBorders>
            <w:shd w:val="clear" w:color="auto" w:fill="auto"/>
            <w:noWrap/>
            <w:vAlign w:val="center"/>
            <w:hideMark/>
          </w:tcPr>
          <w:p w14:paraId="1504A9B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23</w:t>
            </w:r>
          </w:p>
        </w:tc>
        <w:tc>
          <w:tcPr>
            <w:tcW w:w="1175" w:type="dxa"/>
            <w:tcBorders>
              <w:top w:val="nil"/>
              <w:left w:val="nil"/>
              <w:bottom w:val="single" w:sz="4" w:space="0" w:color="auto"/>
              <w:right w:val="single" w:sz="4" w:space="0" w:color="auto"/>
            </w:tcBorders>
            <w:shd w:val="clear" w:color="auto" w:fill="auto"/>
            <w:noWrap/>
            <w:vAlign w:val="center"/>
            <w:hideMark/>
          </w:tcPr>
          <w:p w14:paraId="6EEFBDE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0</w:t>
            </w:r>
          </w:p>
        </w:tc>
      </w:tr>
      <w:tr w:rsidR="000157E7" w:rsidRPr="009B39EC" w14:paraId="48017438"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21E22F4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9</w:t>
            </w:r>
          </w:p>
        </w:tc>
        <w:tc>
          <w:tcPr>
            <w:tcW w:w="2202" w:type="dxa"/>
            <w:tcBorders>
              <w:top w:val="nil"/>
              <w:left w:val="nil"/>
              <w:bottom w:val="single" w:sz="4" w:space="0" w:color="auto"/>
              <w:right w:val="single" w:sz="4" w:space="0" w:color="auto"/>
            </w:tcBorders>
            <w:shd w:val="clear" w:color="000000" w:fill="FFFFFF"/>
            <w:vAlign w:val="center"/>
            <w:hideMark/>
          </w:tcPr>
          <w:p w14:paraId="7D3D164D" w14:textId="5B3911FB"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 xml:space="preserve">Child protection services - </w:t>
            </w:r>
            <w:proofErr w:type="spellStart"/>
            <w:r w:rsidRPr="009B39EC">
              <w:rPr>
                <w:rFonts w:ascii="Arial" w:eastAsia="Times New Roman" w:hAnsi="Arial" w:cs="Arial"/>
                <w:color w:val="212121"/>
                <w:sz w:val="20"/>
                <w:szCs w:val="20"/>
                <w:lang w:val="en-US"/>
              </w:rPr>
              <w:t>Korça</w:t>
            </w:r>
            <w:proofErr w:type="spellEnd"/>
            <w:r w:rsidRPr="009B39EC">
              <w:rPr>
                <w:rFonts w:ascii="Arial" w:eastAsia="Times New Roman" w:hAnsi="Arial" w:cs="Arial"/>
                <w:color w:val="212121"/>
                <w:sz w:val="20"/>
                <w:szCs w:val="20"/>
                <w:lang w:val="en-US"/>
              </w:rPr>
              <w:t xml:space="preserve"> region</w:t>
            </w:r>
          </w:p>
        </w:tc>
        <w:tc>
          <w:tcPr>
            <w:tcW w:w="2203" w:type="dxa"/>
            <w:tcBorders>
              <w:top w:val="nil"/>
              <w:left w:val="nil"/>
              <w:bottom w:val="single" w:sz="4" w:space="0" w:color="auto"/>
              <w:right w:val="single" w:sz="4" w:space="0" w:color="auto"/>
            </w:tcBorders>
            <w:shd w:val="clear" w:color="auto" w:fill="auto"/>
            <w:vAlign w:val="center"/>
            <w:hideMark/>
          </w:tcPr>
          <w:p w14:paraId="2B8D81CF" w14:textId="400420AC"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6EB9A32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20</w:t>
            </w:r>
          </w:p>
        </w:tc>
        <w:tc>
          <w:tcPr>
            <w:tcW w:w="1546" w:type="dxa"/>
            <w:tcBorders>
              <w:top w:val="nil"/>
              <w:left w:val="nil"/>
              <w:bottom w:val="single" w:sz="4" w:space="0" w:color="auto"/>
              <w:right w:val="single" w:sz="4" w:space="0" w:color="auto"/>
            </w:tcBorders>
            <w:shd w:val="clear" w:color="auto" w:fill="auto"/>
            <w:noWrap/>
            <w:vAlign w:val="center"/>
            <w:hideMark/>
          </w:tcPr>
          <w:p w14:paraId="62B5483D"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19</w:t>
            </w:r>
          </w:p>
        </w:tc>
        <w:tc>
          <w:tcPr>
            <w:tcW w:w="1175" w:type="dxa"/>
            <w:tcBorders>
              <w:top w:val="nil"/>
              <w:left w:val="nil"/>
              <w:bottom w:val="single" w:sz="4" w:space="0" w:color="auto"/>
              <w:right w:val="single" w:sz="4" w:space="0" w:color="auto"/>
            </w:tcBorders>
            <w:shd w:val="clear" w:color="auto" w:fill="auto"/>
            <w:noWrap/>
            <w:vAlign w:val="center"/>
            <w:hideMark/>
          </w:tcPr>
          <w:p w14:paraId="5FA13F2C"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r>
      <w:tr w:rsidR="000157E7" w:rsidRPr="009B39EC" w14:paraId="16EE1A47"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7AD45E2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10</w:t>
            </w:r>
          </w:p>
        </w:tc>
        <w:tc>
          <w:tcPr>
            <w:tcW w:w="2202" w:type="dxa"/>
            <w:tcBorders>
              <w:top w:val="nil"/>
              <w:left w:val="nil"/>
              <w:bottom w:val="single" w:sz="4" w:space="0" w:color="auto"/>
              <w:right w:val="single" w:sz="4" w:space="0" w:color="auto"/>
            </w:tcBorders>
            <w:shd w:val="clear" w:color="000000" w:fill="FFFFFF"/>
            <w:vAlign w:val="center"/>
            <w:hideMark/>
          </w:tcPr>
          <w:p w14:paraId="402C3DBB" w14:textId="5C03883D"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 xml:space="preserve">Child protection services - </w:t>
            </w:r>
            <w:proofErr w:type="spellStart"/>
            <w:r w:rsidRPr="009B39EC">
              <w:rPr>
                <w:rFonts w:ascii="Arial" w:eastAsia="Times New Roman" w:hAnsi="Arial" w:cs="Arial"/>
                <w:color w:val="212121"/>
                <w:sz w:val="20"/>
                <w:szCs w:val="20"/>
                <w:lang w:val="en-US"/>
              </w:rPr>
              <w:t>Vlora</w:t>
            </w:r>
            <w:proofErr w:type="spellEnd"/>
            <w:r w:rsidRPr="009B39EC">
              <w:rPr>
                <w:rFonts w:ascii="Arial" w:eastAsia="Times New Roman" w:hAnsi="Arial" w:cs="Arial"/>
                <w:color w:val="212121"/>
                <w:sz w:val="20"/>
                <w:szCs w:val="20"/>
                <w:lang w:val="en-US"/>
              </w:rPr>
              <w:t xml:space="preserve"> region</w:t>
            </w:r>
          </w:p>
        </w:tc>
        <w:tc>
          <w:tcPr>
            <w:tcW w:w="2203" w:type="dxa"/>
            <w:tcBorders>
              <w:top w:val="nil"/>
              <w:left w:val="nil"/>
              <w:bottom w:val="single" w:sz="4" w:space="0" w:color="auto"/>
              <w:right w:val="single" w:sz="4" w:space="0" w:color="auto"/>
            </w:tcBorders>
            <w:shd w:val="clear" w:color="auto" w:fill="auto"/>
            <w:vAlign w:val="center"/>
            <w:hideMark/>
          </w:tcPr>
          <w:p w14:paraId="7C4900AD" w14:textId="347556F9"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17ABF39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12</w:t>
            </w:r>
          </w:p>
        </w:tc>
        <w:tc>
          <w:tcPr>
            <w:tcW w:w="1546" w:type="dxa"/>
            <w:tcBorders>
              <w:top w:val="nil"/>
              <w:left w:val="nil"/>
              <w:bottom w:val="single" w:sz="4" w:space="0" w:color="auto"/>
              <w:right w:val="single" w:sz="4" w:space="0" w:color="auto"/>
            </w:tcBorders>
            <w:shd w:val="clear" w:color="auto" w:fill="auto"/>
            <w:noWrap/>
            <w:vAlign w:val="center"/>
            <w:hideMark/>
          </w:tcPr>
          <w:p w14:paraId="3AABF24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11</w:t>
            </w:r>
          </w:p>
        </w:tc>
        <w:tc>
          <w:tcPr>
            <w:tcW w:w="1175" w:type="dxa"/>
            <w:tcBorders>
              <w:top w:val="nil"/>
              <w:left w:val="nil"/>
              <w:bottom w:val="single" w:sz="4" w:space="0" w:color="auto"/>
              <w:right w:val="single" w:sz="4" w:space="0" w:color="auto"/>
            </w:tcBorders>
            <w:shd w:val="clear" w:color="auto" w:fill="auto"/>
            <w:noWrap/>
            <w:vAlign w:val="center"/>
            <w:hideMark/>
          </w:tcPr>
          <w:p w14:paraId="717B014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r>
      <w:tr w:rsidR="000157E7" w:rsidRPr="009B39EC" w14:paraId="6794ED1A"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772E2E5"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lastRenderedPageBreak/>
              <w:t>11</w:t>
            </w:r>
          </w:p>
        </w:tc>
        <w:tc>
          <w:tcPr>
            <w:tcW w:w="2202" w:type="dxa"/>
            <w:tcBorders>
              <w:top w:val="nil"/>
              <w:left w:val="nil"/>
              <w:bottom w:val="single" w:sz="4" w:space="0" w:color="auto"/>
              <w:right w:val="single" w:sz="4" w:space="0" w:color="auto"/>
            </w:tcBorders>
            <w:shd w:val="clear" w:color="000000" w:fill="FFFFFF"/>
            <w:vAlign w:val="center"/>
            <w:hideMark/>
          </w:tcPr>
          <w:p w14:paraId="1D774183" w14:textId="168C481A"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 xml:space="preserve">Child protection services - </w:t>
            </w:r>
            <w:proofErr w:type="spellStart"/>
            <w:r w:rsidRPr="009B39EC">
              <w:rPr>
                <w:rFonts w:ascii="Arial" w:eastAsia="Times New Roman" w:hAnsi="Arial" w:cs="Arial"/>
                <w:color w:val="212121"/>
                <w:sz w:val="20"/>
                <w:szCs w:val="20"/>
                <w:lang w:val="en-US"/>
              </w:rPr>
              <w:t>Kukës</w:t>
            </w:r>
            <w:proofErr w:type="spellEnd"/>
            <w:r w:rsidRPr="009B39EC">
              <w:rPr>
                <w:rFonts w:ascii="Arial" w:eastAsia="Times New Roman" w:hAnsi="Arial" w:cs="Arial"/>
                <w:color w:val="212121"/>
                <w:sz w:val="20"/>
                <w:szCs w:val="20"/>
                <w:lang w:val="en-US"/>
              </w:rPr>
              <w:t xml:space="preserve"> region</w:t>
            </w:r>
          </w:p>
        </w:tc>
        <w:tc>
          <w:tcPr>
            <w:tcW w:w="2203" w:type="dxa"/>
            <w:tcBorders>
              <w:top w:val="nil"/>
              <w:left w:val="nil"/>
              <w:bottom w:val="single" w:sz="4" w:space="0" w:color="auto"/>
              <w:right w:val="single" w:sz="4" w:space="0" w:color="auto"/>
            </w:tcBorders>
            <w:shd w:val="clear" w:color="auto" w:fill="auto"/>
            <w:vAlign w:val="center"/>
            <w:hideMark/>
          </w:tcPr>
          <w:p w14:paraId="0318FBA9" w14:textId="194CBF15"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707B374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w:t>
            </w:r>
          </w:p>
        </w:tc>
        <w:tc>
          <w:tcPr>
            <w:tcW w:w="1546" w:type="dxa"/>
            <w:tcBorders>
              <w:top w:val="nil"/>
              <w:left w:val="nil"/>
              <w:bottom w:val="single" w:sz="4" w:space="0" w:color="auto"/>
              <w:right w:val="single" w:sz="4" w:space="0" w:color="auto"/>
            </w:tcBorders>
            <w:shd w:val="clear" w:color="auto" w:fill="auto"/>
            <w:noWrap/>
            <w:vAlign w:val="center"/>
            <w:hideMark/>
          </w:tcPr>
          <w:p w14:paraId="42051B3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w:t>
            </w:r>
          </w:p>
        </w:tc>
        <w:tc>
          <w:tcPr>
            <w:tcW w:w="1175" w:type="dxa"/>
            <w:tcBorders>
              <w:top w:val="nil"/>
              <w:left w:val="nil"/>
              <w:bottom w:val="single" w:sz="4" w:space="0" w:color="auto"/>
              <w:right w:val="single" w:sz="4" w:space="0" w:color="auto"/>
            </w:tcBorders>
            <w:shd w:val="clear" w:color="auto" w:fill="auto"/>
            <w:noWrap/>
            <w:vAlign w:val="center"/>
            <w:hideMark/>
          </w:tcPr>
          <w:p w14:paraId="58F26EE3"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r>
      <w:tr w:rsidR="000157E7" w:rsidRPr="009B39EC" w14:paraId="78EE3F59"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758FB33"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12</w:t>
            </w:r>
          </w:p>
        </w:tc>
        <w:tc>
          <w:tcPr>
            <w:tcW w:w="2202" w:type="dxa"/>
            <w:tcBorders>
              <w:top w:val="nil"/>
              <w:left w:val="nil"/>
              <w:bottom w:val="single" w:sz="4" w:space="0" w:color="auto"/>
              <w:right w:val="single" w:sz="4" w:space="0" w:color="auto"/>
            </w:tcBorders>
            <w:shd w:val="clear" w:color="000000" w:fill="FFFFFF"/>
            <w:vAlign w:val="center"/>
            <w:hideMark/>
          </w:tcPr>
          <w:p w14:paraId="0BA9BDEE" w14:textId="59814E9A"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Public Expenditure Management Cycle, MTBP drafting and approval and annual local draft budget</w:t>
            </w:r>
          </w:p>
        </w:tc>
        <w:tc>
          <w:tcPr>
            <w:tcW w:w="2203" w:type="dxa"/>
            <w:tcBorders>
              <w:top w:val="nil"/>
              <w:left w:val="nil"/>
              <w:bottom w:val="single" w:sz="4" w:space="0" w:color="auto"/>
              <w:right w:val="single" w:sz="4" w:space="0" w:color="auto"/>
            </w:tcBorders>
            <w:shd w:val="clear" w:color="auto" w:fill="auto"/>
            <w:vAlign w:val="center"/>
            <w:hideMark/>
          </w:tcPr>
          <w:p w14:paraId="09E8043E" w14:textId="35B04F03"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Local government finances</w:t>
            </w:r>
          </w:p>
        </w:tc>
        <w:tc>
          <w:tcPr>
            <w:tcW w:w="1546" w:type="dxa"/>
            <w:tcBorders>
              <w:top w:val="nil"/>
              <w:left w:val="nil"/>
              <w:bottom w:val="single" w:sz="4" w:space="0" w:color="auto"/>
              <w:right w:val="single" w:sz="4" w:space="0" w:color="auto"/>
            </w:tcBorders>
            <w:shd w:val="clear" w:color="auto" w:fill="auto"/>
            <w:noWrap/>
            <w:vAlign w:val="center"/>
            <w:hideMark/>
          </w:tcPr>
          <w:p w14:paraId="24F77B8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52</w:t>
            </w:r>
          </w:p>
        </w:tc>
        <w:tc>
          <w:tcPr>
            <w:tcW w:w="1546" w:type="dxa"/>
            <w:tcBorders>
              <w:top w:val="nil"/>
              <w:left w:val="nil"/>
              <w:bottom w:val="single" w:sz="4" w:space="0" w:color="auto"/>
              <w:right w:val="single" w:sz="4" w:space="0" w:color="auto"/>
            </w:tcBorders>
            <w:shd w:val="clear" w:color="auto" w:fill="auto"/>
            <w:noWrap/>
            <w:vAlign w:val="center"/>
            <w:hideMark/>
          </w:tcPr>
          <w:p w14:paraId="454A4B3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42</w:t>
            </w:r>
          </w:p>
        </w:tc>
        <w:tc>
          <w:tcPr>
            <w:tcW w:w="1175" w:type="dxa"/>
            <w:tcBorders>
              <w:top w:val="nil"/>
              <w:left w:val="nil"/>
              <w:bottom w:val="single" w:sz="4" w:space="0" w:color="auto"/>
              <w:right w:val="single" w:sz="4" w:space="0" w:color="auto"/>
            </w:tcBorders>
            <w:shd w:val="clear" w:color="auto" w:fill="auto"/>
            <w:noWrap/>
            <w:vAlign w:val="center"/>
            <w:hideMark/>
          </w:tcPr>
          <w:p w14:paraId="4E3596FD"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10</w:t>
            </w:r>
          </w:p>
        </w:tc>
      </w:tr>
      <w:tr w:rsidR="000157E7" w:rsidRPr="009B39EC" w14:paraId="1A9CBA6F"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6701388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13</w:t>
            </w:r>
          </w:p>
        </w:tc>
        <w:tc>
          <w:tcPr>
            <w:tcW w:w="2202" w:type="dxa"/>
            <w:tcBorders>
              <w:top w:val="nil"/>
              <w:left w:val="nil"/>
              <w:bottom w:val="single" w:sz="4" w:space="0" w:color="auto"/>
              <w:right w:val="single" w:sz="4" w:space="0" w:color="auto"/>
            </w:tcBorders>
            <w:shd w:val="clear" w:color="000000" w:fill="FFFFFF"/>
            <w:vAlign w:val="center"/>
            <w:hideMark/>
          </w:tcPr>
          <w:p w14:paraId="34E3B046" w14:textId="22AF0671"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Public Expenditure Management Cycle. Drafting and approval of the MTBP and the annual local Draft Budget</w:t>
            </w:r>
          </w:p>
        </w:tc>
        <w:tc>
          <w:tcPr>
            <w:tcW w:w="2203" w:type="dxa"/>
            <w:tcBorders>
              <w:top w:val="nil"/>
              <w:left w:val="nil"/>
              <w:bottom w:val="single" w:sz="4" w:space="0" w:color="auto"/>
              <w:right w:val="single" w:sz="4" w:space="0" w:color="auto"/>
            </w:tcBorders>
            <w:shd w:val="clear" w:color="auto" w:fill="auto"/>
            <w:vAlign w:val="center"/>
            <w:hideMark/>
          </w:tcPr>
          <w:p w14:paraId="1DEE3D9B" w14:textId="49E9AADF"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Local government finances</w:t>
            </w:r>
          </w:p>
        </w:tc>
        <w:tc>
          <w:tcPr>
            <w:tcW w:w="1546" w:type="dxa"/>
            <w:tcBorders>
              <w:top w:val="nil"/>
              <w:left w:val="nil"/>
              <w:bottom w:val="single" w:sz="4" w:space="0" w:color="auto"/>
              <w:right w:val="single" w:sz="4" w:space="0" w:color="auto"/>
            </w:tcBorders>
            <w:shd w:val="clear" w:color="auto" w:fill="auto"/>
            <w:noWrap/>
            <w:vAlign w:val="center"/>
            <w:hideMark/>
          </w:tcPr>
          <w:p w14:paraId="57BE246C"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161</w:t>
            </w:r>
          </w:p>
        </w:tc>
        <w:tc>
          <w:tcPr>
            <w:tcW w:w="1546" w:type="dxa"/>
            <w:tcBorders>
              <w:top w:val="nil"/>
              <w:left w:val="nil"/>
              <w:bottom w:val="single" w:sz="4" w:space="0" w:color="auto"/>
              <w:right w:val="single" w:sz="4" w:space="0" w:color="auto"/>
            </w:tcBorders>
            <w:shd w:val="clear" w:color="auto" w:fill="auto"/>
            <w:noWrap/>
            <w:vAlign w:val="center"/>
            <w:hideMark/>
          </w:tcPr>
          <w:p w14:paraId="3488172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138</w:t>
            </w:r>
          </w:p>
        </w:tc>
        <w:tc>
          <w:tcPr>
            <w:tcW w:w="1175" w:type="dxa"/>
            <w:tcBorders>
              <w:top w:val="nil"/>
              <w:left w:val="nil"/>
              <w:bottom w:val="single" w:sz="4" w:space="0" w:color="auto"/>
              <w:right w:val="single" w:sz="4" w:space="0" w:color="auto"/>
            </w:tcBorders>
            <w:shd w:val="clear" w:color="auto" w:fill="auto"/>
            <w:noWrap/>
            <w:vAlign w:val="center"/>
            <w:hideMark/>
          </w:tcPr>
          <w:p w14:paraId="63ED1DCA"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23</w:t>
            </w:r>
          </w:p>
        </w:tc>
      </w:tr>
      <w:tr w:rsidR="000157E7" w:rsidRPr="009B39EC" w14:paraId="5E14B565"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09A8E4F5"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14</w:t>
            </w:r>
          </w:p>
        </w:tc>
        <w:tc>
          <w:tcPr>
            <w:tcW w:w="2202" w:type="dxa"/>
            <w:tcBorders>
              <w:top w:val="nil"/>
              <w:left w:val="nil"/>
              <w:bottom w:val="single" w:sz="4" w:space="0" w:color="auto"/>
              <w:right w:val="single" w:sz="4" w:space="0" w:color="auto"/>
            </w:tcBorders>
            <w:shd w:val="clear" w:color="000000" w:fill="FFFFFF"/>
            <w:vAlign w:val="center"/>
            <w:hideMark/>
          </w:tcPr>
          <w:p w14:paraId="2F643A0F" w14:textId="17CC874F" w:rsidR="000157E7" w:rsidRPr="009B39EC" w:rsidRDefault="00047D20"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Notions and concepts of "gender", "gender mainstreaming", “Social justice” and “Gender responsive budget”</w:t>
            </w:r>
          </w:p>
        </w:tc>
        <w:tc>
          <w:tcPr>
            <w:tcW w:w="2203" w:type="dxa"/>
            <w:tcBorders>
              <w:top w:val="nil"/>
              <w:left w:val="nil"/>
              <w:bottom w:val="single" w:sz="4" w:space="0" w:color="auto"/>
              <w:right w:val="single" w:sz="4" w:space="0" w:color="auto"/>
            </w:tcBorders>
            <w:shd w:val="clear" w:color="auto" w:fill="auto"/>
            <w:vAlign w:val="center"/>
            <w:hideMark/>
          </w:tcPr>
          <w:p w14:paraId="33142DFD" w14:textId="133A0963"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283502E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50</w:t>
            </w:r>
          </w:p>
        </w:tc>
        <w:tc>
          <w:tcPr>
            <w:tcW w:w="1546" w:type="dxa"/>
            <w:tcBorders>
              <w:top w:val="nil"/>
              <w:left w:val="nil"/>
              <w:bottom w:val="single" w:sz="4" w:space="0" w:color="auto"/>
              <w:right w:val="single" w:sz="4" w:space="0" w:color="auto"/>
            </w:tcBorders>
            <w:shd w:val="clear" w:color="auto" w:fill="auto"/>
            <w:noWrap/>
            <w:vAlign w:val="center"/>
            <w:hideMark/>
          </w:tcPr>
          <w:p w14:paraId="14BD100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44</w:t>
            </w:r>
          </w:p>
        </w:tc>
        <w:tc>
          <w:tcPr>
            <w:tcW w:w="1175" w:type="dxa"/>
            <w:tcBorders>
              <w:top w:val="nil"/>
              <w:left w:val="nil"/>
              <w:bottom w:val="single" w:sz="4" w:space="0" w:color="auto"/>
              <w:right w:val="single" w:sz="4" w:space="0" w:color="auto"/>
            </w:tcBorders>
            <w:shd w:val="clear" w:color="auto" w:fill="auto"/>
            <w:noWrap/>
            <w:vAlign w:val="center"/>
            <w:hideMark/>
          </w:tcPr>
          <w:p w14:paraId="341D2B5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w:t>
            </w:r>
          </w:p>
        </w:tc>
      </w:tr>
      <w:tr w:rsidR="000157E7" w:rsidRPr="009B39EC" w14:paraId="42837979"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B7FC925"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15</w:t>
            </w:r>
          </w:p>
        </w:tc>
        <w:tc>
          <w:tcPr>
            <w:tcW w:w="2202" w:type="dxa"/>
            <w:tcBorders>
              <w:top w:val="nil"/>
              <w:left w:val="nil"/>
              <w:bottom w:val="single" w:sz="4" w:space="0" w:color="auto"/>
              <w:right w:val="single" w:sz="4" w:space="0" w:color="auto"/>
            </w:tcBorders>
            <w:shd w:val="clear" w:color="000000" w:fill="FFFFFF"/>
            <w:vAlign w:val="center"/>
            <w:hideMark/>
          </w:tcPr>
          <w:p w14:paraId="50546808" w14:textId="606F3760" w:rsidR="000157E7" w:rsidRPr="009B39EC" w:rsidRDefault="00A35BA4" w:rsidP="00C76105">
            <w:pPr>
              <w:spacing w:after="0" w:line="240" w:lineRule="auto"/>
              <w:jc w:val="center"/>
              <w:rPr>
                <w:rFonts w:ascii="Arial" w:eastAsia="Times New Roman" w:hAnsi="Arial" w:cs="Arial"/>
                <w:color w:val="212121"/>
                <w:sz w:val="20"/>
                <w:szCs w:val="20"/>
                <w:lang w:val="en-US"/>
              </w:rPr>
            </w:pPr>
            <w:r w:rsidRPr="009B39EC">
              <w:rPr>
                <w:rFonts w:ascii="Arial" w:eastAsia="Times New Roman" w:hAnsi="Arial" w:cs="Arial"/>
                <w:color w:val="212121"/>
                <w:sz w:val="20"/>
                <w:szCs w:val="20"/>
                <w:lang w:val="en-US"/>
              </w:rPr>
              <w:t>Child protection services</w:t>
            </w:r>
          </w:p>
        </w:tc>
        <w:tc>
          <w:tcPr>
            <w:tcW w:w="2203" w:type="dxa"/>
            <w:tcBorders>
              <w:top w:val="nil"/>
              <w:left w:val="nil"/>
              <w:bottom w:val="single" w:sz="4" w:space="0" w:color="auto"/>
              <w:right w:val="single" w:sz="4" w:space="0" w:color="auto"/>
            </w:tcBorders>
            <w:shd w:val="clear" w:color="auto" w:fill="auto"/>
            <w:vAlign w:val="center"/>
            <w:hideMark/>
          </w:tcPr>
          <w:p w14:paraId="5127E1B5" w14:textId="0722B6B1"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020ABEB0"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36</w:t>
            </w:r>
          </w:p>
        </w:tc>
        <w:tc>
          <w:tcPr>
            <w:tcW w:w="1546" w:type="dxa"/>
            <w:tcBorders>
              <w:top w:val="nil"/>
              <w:left w:val="nil"/>
              <w:bottom w:val="single" w:sz="4" w:space="0" w:color="auto"/>
              <w:right w:val="single" w:sz="4" w:space="0" w:color="auto"/>
            </w:tcBorders>
            <w:shd w:val="clear" w:color="auto" w:fill="auto"/>
            <w:noWrap/>
            <w:vAlign w:val="center"/>
            <w:hideMark/>
          </w:tcPr>
          <w:p w14:paraId="714228EC"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35</w:t>
            </w:r>
          </w:p>
        </w:tc>
        <w:tc>
          <w:tcPr>
            <w:tcW w:w="1175" w:type="dxa"/>
            <w:tcBorders>
              <w:top w:val="nil"/>
              <w:left w:val="nil"/>
              <w:bottom w:val="single" w:sz="4" w:space="0" w:color="auto"/>
              <w:right w:val="single" w:sz="4" w:space="0" w:color="auto"/>
            </w:tcBorders>
            <w:shd w:val="clear" w:color="auto" w:fill="auto"/>
            <w:noWrap/>
            <w:vAlign w:val="center"/>
            <w:hideMark/>
          </w:tcPr>
          <w:p w14:paraId="1228CE6A"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r>
      <w:tr w:rsidR="000157E7" w:rsidRPr="009B39EC" w14:paraId="6C56CD20"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8D7DCF1"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16</w:t>
            </w:r>
          </w:p>
        </w:tc>
        <w:tc>
          <w:tcPr>
            <w:tcW w:w="2202" w:type="dxa"/>
            <w:tcBorders>
              <w:top w:val="nil"/>
              <w:left w:val="nil"/>
              <w:bottom w:val="single" w:sz="4" w:space="0" w:color="auto"/>
              <w:right w:val="single" w:sz="4" w:space="0" w:color="auto"/>
            </w:tcBorders>
            <w:shd w:val="clear" w:color="000000" w:fill="FFFFFF"/>
            <w:vAlign w:val="center"/>
            <w:hideMark/>
          </w:tcPr>
          <w:p w14:paraId="1C43D60E" w14:textId="61B0BE37" w:rsidR="000157E7" w:rsidRPr="009B39EC" w:rsidRDefault="00A35BA4" w:rsidP="00C76105">
            <w:pPr>
              <w:spacing w:after="0" w:line="240" w:lineRule="auto"/>
              <w:jc w:val="center"/>
              <w:rPr>
                <w:rFonts w:ascii="Arial" w:eastAsia="Times New Roman" w:hAnsi="Arial" w:cs="Arial"/>
                <w:color w:val="222222"/>
                <w:sz w:val="20"/>
                <w:szCs w:val="20"/>
                <w:lang w:val="en-US"/>
              </w:rPr>
            </w:pPr>
            <w:r w:rsidRPr="009B39EC">
              <w:rPr>
                <w:rFonts w:ascii="Arial" w:eastAsia="Times New Roman" w:hAnsi="Arial" w:cs="Arial"/>
                <w:color w:val="222222"/>
                <w:sz w:val="20"/>
                <w:szCs w:val="20"/>
                <w:lang w:val="en-US"/>
              </w:rPr>
              <w:t>Gender analysis’ steps</w:t>
            </w:r>
          </w:p>
        </w:tc>
        <w:tc>
          <w:tcPr>
            <w:tcW w:w="2203" w:type="dxa"/>
            <w:tcBorders>
              <w:top w:val="nil"/>
              <w:left w:val="nil"/>
              <w:bottom w:val="single" w:sz="4" w:space="0" w:color="auto"/>
              <w:right w:val="single" w:sz="4" w:space="0" w:color="auto"/>
            </w:tcBorders>
            <w:shd w:val="clear" w:color="auto" w:fill="auto"/>
            <w:vAlign w:val="center"/>
            <w:hideMark/>
          </w:tcPr>
          <w:p w14:paraId="71779C04" w14:textId="6EC82C52"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14A949D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24</w:t>
            </w:r>
          </w:p>
        </w:tc>
        <w:tc>
          <w:tcPr>
            <w:tcW w:w="1546" w:type="dxa"/>
            <w:tcBorders>
              <w:top w:val="nil"/>
              <w:left w:val="nil"/>
              <w:bottom w:val="single" w:sz="4" w:space="0" w:color="auto"/>
              <w:right w:val="single" w:sz="4" w:space="0" w:color="auto"/>
            </w:tcBorders>
            <w:shd w:val="clear" w:color="auto" w:fill="auto"/>
            <w:noWrap/>
            <w:vAlign w:val="center"/>
            <w:hideMark/>
          </w:tcPr>
          <w:p w14:paraId="3D83088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22</w:t>
            </w:r>
          </w:p>
        </w:tc>
        <w:tc>
          <w:tcPr>
            <w:tcW w:w="1175" w:type="dxa"/>
            <w:tcBorders>
              <w:top w:val="nil"/>
              <w:left w:val="nil"/>
              <w:bottom w:val="single" w:sz="4" w:space="0" w:color="auto"/>
              <w:right w:val="single" w:sz="4" w:space="0" w:color="auto"/>
            </w:tcBorders>
            <w:shd w:val="clear" w:color="auto" w:fill="auto"/>
            <w:noWrap/>
            <w:vAlign w:val="center"/>
            <w:hideMark/>
          </w:tcPr>
          <w:p w14:paraId="66EB4F8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w:t>
            </w:r>
          </w:p>
        </w:tc>
      </w:tr>
      <w:tr w:rsidR="000157E7" w:rsidRPr="009B39EC" w14:paraId="1C4FE367"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90831B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17</w:t>
            </w:r>
          </w:p>
        </w:tc>
        <w:tc>
          <w:tcPr>
            <w:tcW w:w="2202" w:type="dxa"/>
            <w:tcBorders>
              <w:top w:val="nil"/>
              <w:left w:val="nil"/>
              <w:bottom w:val="single" w:sz="4" w:space="0" w:color="auto"/>
              <w:right w:val="single" w:sz="4" w:space="0" w:color="auto"/>
            </w:tcBorders>
            <w:shd w:val="clear" w:color="000000" w:fill="FFFFFF"/>
            <w:vAlign w:val="center"/>
            <w:hideMark/>
          </w:tcPr>
          <w:p w14:paraId="2A684BAB" w14:textId="2ACE4A98" w:rsidR="000157E7" w:rsidRPr="009B39EC" w:rsidRDefault="00A35BA4" w:rsidP="00C76105">
            <w:pPr>
              <w:spacing w:after="0" w:line="240" w:lineRule="auto"/>
              <w:jc w:val="center"/>
              <w:rPr>
                <w:rFonts w:ascii="Arial" w:eastAsia="Times New Roman" w:hAnsi="Arial" w:cs="Arial"/>
                <w:color w:val="222222"/>
                <w:sz w:val="20"/>
                <w:szCs w:val="20"/>
                <w:lang w:val="en-US"/>
              </w:rPr>
            </w:pPr>
            <w:r w:rsidRPr="009B39EC">
              <w:rPr>
                <w:rFonts w:ascii="Arial" w:eastAsia="Times New Roman" w:hAnsi="Arial" w:cs="Arial"/>
                <w:color w:val="222222"/>
                <w:sz w:val="20"/>
                <w:szCs w:val="20"/>
                <w:lang w:val="en-US"/>
              </w:rPr>
              <w:t xml:space="preserve">Differences and impact of gender issues </w:t>
            </w:r>
          </w:p>
        </w:tc>
        <w:tc>
          <w:tcPr>
            <w:tcW w:w="2203" w:type="dxa"/>
            <w:tcBorders>
              <w:top w:val="nil"/>
              <w:left w:val="nil"/>
              <w:bottom w:val="single" w:sz="4" w:space="0" w:color="auto"/>
              <w:right w:val="single" w:sz="4" w:space="0" w:color="auto"/>
            </w:tcBorders>
            <w:shd w:val="clear" w:color="auto" w:fill="auto"/>
            <w:vAlign w:val="center"/>
            <w:hideMark/>
          </w:tcPr>
          <w:p w14:paraId="7E2BA134" w14:textId="68AF518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6AD45008"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20</w:t>
            </w:r>
          </w:p>
        </w:tc>
        <w:tc>
          <w:tcPr>
            <w:tcW w:w="1546" w:type="dxa"/>
            <w:tcBorders>
              <w:top w:val="nil"/>
              <w:left w:val="nil"/>
              <w:bottom w:val="single" w:sz="4" w:space="0" w:color="auto"/>
              <w:right w:val="single" w:sz="4" w:space="0" w:color="auto"/>
            </w:tcBorders>
            <w:shd w:val="clear" w:color="auto" w:fill="auto"/>
            <w:noWrap/>
            <w:vAlign w:val="center"/>
            <w:hideMark/>
          </w:tcPr>
          <w:p w14:paraId="6E0F44C1"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19</w:t>
            </w:r>
          </w:p>
        </w:tc>
        <w:tc>
          <w:tcPr>
            <w:tcW w:w="1175" w:type="dxa"/>
            <w:tcBorders>
              <w:top w:val="nil"/>
              <w:left w:val="nil"/>
              <w:bottom w:val="single" w:sz="4" w:space="0" w:color="auto"/>
              <w:right w:val="single" w:sz="4" w:space="0" w:color="auto"/>
            </w:tcBorders>
            <w:shd w:val="clear" w:color="auto" w:fill="auto"/>
            <w:noWrap/>
            <w:vAlign w:val="center"/>
            <w:hideMark/>
          </w:tcPr>
          <w:p w14:paraId="5ACD981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w:t>
            </w:r>
          </w:p>
        </w:tc>
      </w:tr>
      <w:tr w:rsidR="000157E7" w:rsidRPr="009B39EC" w14:paraId="5535486B"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FD3995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18</w:t>
            </w:r>
          </w:p>
        </w:tc>
        <w:tc>
          <w:tcPr>
            <w:tcW w:w="2202" w:type="dxa"/>
            <w:tcBorders>
              <w:top w:val="nil"/>
              <w:left w:val="nil"/>
              <w:bottom w:val="single" w:sz="4" w:space="0" w:color="auto"/>
              <w:right w:val="single" w:sz="4" w:space="0" w:color="auto"/>
            </w:tcBorders>
            <w:shd w:val="clear" w:color="000000" w:fill="FFFFFF"/>
            <w:vAlign w:val="center"/>
            <w:hideMark/>
          </w:tcPr>
          <w:p w14:paraId="33AF98C5" w14:textId="3FD3691E" w:rsidR="000157E7" w:rsidRPr="009B39EC" w:rsidRDefault="00A35BA4" w:rsidP="00C76105">
            <w:pPr>
              <w:spacing w:after="0" w:line="240" w:lineRule="auto"/>
              <w:jc w:val="center"/>
              <w:rPr>
                <w:rFonts w:ascii="Arial" w:eastAsia="Times New Roman" w:hAnsi="Arial" w:cs="Arial"/>
                <w:sz w:val="20"/>
                <w:szCs w:val="20"/>
                <w:lang w:val="en-US"/>
              </w:rPr>
            </w:pPr>
            <w:r w:rsidRPr="009B39EC">
              <w:rPr>
                <w:rFonts w:ascii="Arial" w:eastAsia="Times New Roman" w:hAnsi="Arial" w:cs="Arial"/>
                <w:color w:val="212121"/>
                <w:sz w:val="20"/>
                <w:szCs w:val="20"/>
                <w:lang w:val="en-US"/>
              </w:rPr>
              <w:t>Child protection services</w:t>
            </w:r>
          </w:p>
        </w:tc>
        <w:tc>
          <w:tcPr>
            <w:tcW w:w="2203" w:type="dxa"/>
            <w:tcBorders>
              <w:top w:val="nil"/>
              <w:left w:val="nil"/>
              <w:bottom w:val="single" w:sz="4" w:space="0" w:color="auto"/>
              <w:right w:val="single" w:sz="4" w:space="0" w:color="auto"/>
            </w:tcBorders>
            <w:shd w:val="clear" w:color="auto" w:fill="auto"/>
            <w:vAlign w:val="center"/>
            <w:hideMark/>
          </w:tcPr>
          <w:p w14:paraId="72848D70" w14:textId="515D1A7D"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212121"/>
                <w:sz w:val="20"/>
                <w:szCs w:val="20"/>
                <w:lang w:val="en-US"/>
              </w:rPr>
              <w:t>Child protection services</w:t>
            </w:r>
          </w:p>
        </w:tc>
        <w:tc>
          <w:tcPr>
            <w:tcW w:w="1546" w:type="dxa"/>
            <w:tcBorders>
              <w:top w:val="nil"/>
              <w:left w:val="nil"/>
              <w:bottom w:val="single" w:sz="4" w:space="0" w:color="auto"/>
              <w:right w:val="single" w:sz="4" w:space="0" w:color="auto"/>
            </w:tcBorders>
            <w:shd w:val="clear" w:color="auto" w:fill="auto"/>
            <w:noWrap/>
            <w:vAlign w:val="center"/>
            <w:hideMark/>
          </w:tcPr>
          <w:p w14:paraId="6232F3A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57</w:t>
            </w:r>
          </w:p>
        </w:tc>
        <w:tc>
          <w:tcPr>
            <w:tcW w:w="1546" w:type="dxa"/>
            <w:tcBorders>
              <w:top w:val="nil"/>
              <w:left w:val="nil"/>
              <w:bottom w:val="single" w:sz="4" w:space="0" w:color="auto"/>
              <w:right w:val="single" w:sz="4" w:space="0" w:color="auto"/>
            </w:tcBorders>
            <w:shd w:val="clear" w:color="auto" w:fill="auto"/>
            <w:noWrap/>
            <w:vAlign w:val="center"/>
            <w:hideMark/>
          </w:tcPr>
          <w:p w14:paraId="57BA3225"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55</w:t>
            </w:r>
          </w:p>
        </w:tc>
        <w:tc>
          <w:tcPr>
            <w:tcW w:w="1175" w:type="dxa"/>
            <w:tcBorders>
              <w:top w:val="nil"/>
              <w:left w:val="nil"/>
              <w:bottom w:val="single" w:sz="4" w:space="0" w:color="auto"/>
              <w:right w:val="single" w:sz="4" w:space="0" w:color="auto"/>
            </w:tcBorders>
            <w:shd w:val="clear" w:color="auto" w:fill="auto"/>
            <w:noWrap/>
            <w:vAlign w:val="center"/>
            <w:hideMark/>
          </w:tcPr>
          <w:p w14:paraId="1D22A58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w:t>
            </w:r>
          </w:p>
        </w:tc>
      </w:tr>
      <w:tr w:rsidR="000157E7" w:rsidRPr="009B39EC" w14:paraId="3C1B1208"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78280DE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19</w:t>
            </w:r>
          </w:p>
        </w:tc>
        <w:tc>
          <w:tcPr>
            <w:tcW w:w="2202" w:type="dxa"/>
            <w:tcBorders>
              <w:top w:val="nil"/>
              <w:left w:val="nil"/>
              <w:bottom w:val="single" w:sz="4" w:space="0" w:color="auto"/>
              <w:right w:val="single" w:sz="4" w:space="0" w:color="auto"/>
            </w:tcBorders>
            <w:shd w:val="clear" w:color="000000" w:fill="FFFFFF"/>
            <w:vAlign w:val="center"/>
            <w:hideMark/>
          </w:tcPr>
          <w:p w14:paraId="33AB543B" w14:textId="22068C9F" w:rsidR="000157E7" w:rsidRPr="009B39EC" w:rsidRDefault="00A35BA4" w:rsidP="00C76105">
            <w:pPr>
              <w:spacing w:after="0" w:line="240" w:lineRule="auto"/>
              <w:jc w:val="center"/>
              <w:rPr>
                <w:rFonts w:ascii="Arial" w:eastAsia="Times New Roman" w:hAnsi="Arial" w:cs="Arial"/>
                <w:sz w:val="20"/>
                <w:szCs w:val="20"/>
                <w:lang w:val="en-US"/>
              </w:rPr>
            </w:pPr>
            <w:r w:rsidRPr="009B39EC">
              <w:rPr>
                <w:rFonts w:ascii="Arial" w:eastAsia="Times New Roman" w:hAnsi="Arial" w:cs="Arial"/>
                <w:sz w:val="20"/>
                <w:szCs w:val="20"/>
                <w:lang w:val="en-US"/>
              </w:rPr>
              <w:t>Gender Responsive Budgeting</w:t>
            </w:r>
          </w:p>
        </w:tc>
        <w:tc>
          <w:tcPr>
            <w:tcW w:w="2203" w:type="dxa"/>
            <w:tcBorders>
              <w:top w:val="nil"/>
              <w:left w:val="nil"/>
              <w:bottom w:val="single" w:sz="4" w:space="0" w:color="auto"/>
              <w:right w:val="single" w:sz="4" w:space="0" w:color="auto"/>
            </w:tcBorders>
            <w:shd w:val="clear" w:color="auto" w:fill="auto"/>
            <w:vAlign w:val="center"/>
            <w:hideMark/>
          </w:tcPr>
          <w:p w14:paraId="4ECB1D25" w14:textId="2A9548B2"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6129F9B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55</w:t>
            </w:r>
          </w:p>
        </w:tc>
        <w:tc>
          <w:tcPr>
            <w:tcW w:w="1546" w:type="dxa"/>
            <w:tcBorders>
              <w:top w:val="nil"/>
              <w:left w:val="nil"/>
              <w:bottom w:val="single" w:sz="4" w:space="0" w:color="auto"/>
              <w:right w:val="single" w:sz="4" w:space="0" w:color="auto"/>
            </w:tcBorders>
            <w:shd w:val="clear" w:color="auto" w:fill="auto"/>
            <w:noWrap/>
            <w:vAlign w:val="center"/>
            <w:hideMark/>
          </w:tcPr>
          <w:p w14:paraId="225EDE0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43</w:t>
            </w:r>
          </w:p>
        </w:tc>
        <w:tc>
          <w:tcPr>
            <w:tcW w:w="1175" w:type="dxa"/>
            <w:tcBorders>
              <w:top w:val="nil"/>
              <w:left w:val="nil"/>
              <w:bottom w:val="single" w:sz="4" w:space="0" w:color="auto"/>
              <w:right w:val="single" w:sz="4" w:space="0" w:color="auto"/>
            </w:tcBorders>
            <w:shd w:val="clear" w:color="auto" w:fill="auto"/>
            <w:noWrap/>
            <w:vAlign w:val="center"/>
            <w:hideMark/>
          </w:tcPr>
          <w:p w14:paraId="2C7914A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12</w:t>
            </w:r>
          </w:p>
        </w:tc>
      </w:tr>
      <w:tr w:rsidR="000157E7" w:rsidRPr="009B39EC" w14:paraId="47A23B9C"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758F86E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lastRenderedPageBreak/>
              <w:t>20</w:t>
            </w:r>
          </w:p>
        </w:tc>
        <w:tc>
          <w:tcPr>
            <w:tcW w:w="2202" w:type="dxa"/>
            <w:tcBorders>
              <w:top w:val="nil"/>
              <w:left w:val="nil"/>
              <w:bottom w:val="single" w:sz="4" w:space="0" w:color="auto"/>
              <w:right w:val="single" w:sz="4" w:space="0" w:color="auto"/>
            </w:tcBorders>
            <w:shd w:val="clear" w:color="000000" w:fill="FFFFFF"/>
            <w:vAlign w:val="center"/>
            <w:hideMark/>
          </w:tcPr>
          <w:p w14:paraId="1E386A59" w14:textId="5AA3134A"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The role of Municipal Councils in monitoring gender-based violence</w:t>
            </w:r>
          </w:p>
        </w:tc>
        <w:tc>
          <w:tcPr>
            <w:tcW w:w="2203" w:type="dxa"/>
            <w:tcBorders>
              <w:top w:val="nil"/>
              <w:left w:val="nil"/>
              <w:bottom w:val="single" w:sz="4" w:space="0" w:color="auto"/>
              <w:right w:val="single" w:sz="4" w:space="0" w:color="auto"/>
            </w:tcBorders>
            <w:shd w:val="clear" w:color="auto" w:fill="auto"/>
            <w:vAlign w:val="center"/>
            <w:hideMark/>
          </w:tcPr>
          <w:p w14:paraId="7554A4F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n/a</w:t>
            </w:r>
          </w:p>
        </w:tc>
        <w:tc>
          <w:tcPr>
            <w:tcW w:w="1546" w:type="dxa"/>
            <w:tcBorders>
              <w:top w:val="nil"/>
              <w:left w:val="nil"/>
              <w:bottom w:val="single" w:sz="4" w:space="0" w:color="auto"/>
              <w:right w:val="single" w:sz="4" w:space="0" w:color="auto"/>
            </w:tcBorders>
            <w:shd w:val="clear" w:color="auto" w:fill="auto"/>
            <w:noWrap/>
            <w:vAlign w:val="center"/>
            <w:hideMark/>
          </w:tcPr>
          <w:p w14:paraId="4B4A2A6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29</w:t>
            </w:r>
          </w:p>
        </w:tc>
        <w:tc>
          <w:tcPr>
            <w:tcW w:w="1546" w:type="dxa"/>
            <w:tcBorders>
              <w:top w:val="nil"/>
              <w:left w:val="nil"/>
              <w:bottom w:val="single" w:sz="4" w:space="0" w:color="auto"/>
              <w:right w:val="single" w:sz="4" w:space="0" w:color="auto"/>
            </w:tcBorders>
            <w:shd w:val="clear" w:color="auto" w:fill="auto"/>
            <w:noWrap/>
            <w:vAlign w:val="center"/>
            <w:hideMark/>
          </w:tcPr>
          <w:p w14:paraId="774A20D0"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22</w:t>
            </w:r>
          </w:p>
        </w:tc>
        <w:tc>
          <w:tcPr>
            <w:tcW w:w="1175" w:type="dxa"/>
            <w:tcBorders>
              <w:top w:val="nil"/>
              <w:left w:val="nil"/>
              <w:bottom w:val="single" w:sz="4" w:space="0" w:color="auto"/>
              <w:right w:val="single" w:sz="4" w:space="0" w:color="auto"/>
            </w:tcBorders>
            <w:shd w:val="clear" w:color="auto" w:fill="auto"/>
            <w:noWrap/>
            <w:vAlign w:val="center"/>
            <w:hideMark/>
          </w:tcPr>
          <w:p w14:paraId="71D9B283"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w:t>
            </w:r>
          </w:p>
        </w:tc>
      </w:tr>
      <w:tr w:rsidR="000157E7" w:rsidRPr="009B39EC" w14:paraId="5DFEE2D2"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5D5986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21</w:t>
            </w:r>
          </w:p>
        </w:tc>
        <w:tc>
          <w:tcPr>
            <w:tcW w:w="2202" w:type="dxa"/>
            <w:tcBorders>
              <w:top w:val="nil"/>
              <w:left w:val="nil"/>
              <w:bottom w:val="single" w:sz="4" w:space="0" w:color="auto"/>
              <w:right w:val="single" w:sz="4" w:space="0" w:color="auto"/>
            </w:tcBorders>
            <w:shd w:val="clear" w:color="000000" w:fill="FFFFFF"/>
            <w:vAlign w:val="center"/>
            <w:hideMark/>
          </w:tcPr>
          <w:p w14:paraId="5E4575BF" w14:textId="6EBEDD57"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Prohibition of discrimination and the burden of proof in public administration</w:t>
            </w:r>
          </w:p>
        </w:tc>
        <w:tc>
          <w:tcPr>
            <w:tcW w:w="2203" w:type="dxa"/>
            <w:tcBorders>
              <w:top w:val="nil"/>
              <w:left w:val="nil"/>
              <w:bottom w:val="single" w:sz="4" w:space="0" w:color="auto"/>
              <w:right w:val="single" w:sz="4" w:space="0" w:color="auto"/>
            </w:tcBorders>
            <w:shd w:val="clear" w:color="auto" w:fill="auto"/>
            <w:vAlign w:val="center"/>
            <w:hideMark/>
          </w:tcPr>
          <w:p w14:paraId="29C30CA9" w14:textId="51F239E0"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3AC974E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102</w:t>
            </w:r>
          </w:p>
        </w:tc>
        <w:tc>
          <w:tcPr>
            <w:tcW w:w="1546" w:type="dxa"/>
            <w:tcBorders>
              <w:top w:val="nil"/>
              <w:left w:val="nil"/>
              <w:bottom w:val="single" w:sz="4" w:space="0" w:color="auto"/>
              <w:right w:val="single" w:sz="4" w:space="0" w:color="auto"/>
            </w:tcBorders>
            <w:shd w:val="clear" w:color="auto" w:fill="auto"/>
            <w:noWrap/>
            <w:vAlign w:val="center"/>
            <w:hideMark/>
          </w:tcPr>
          <w:p w14:paraId="5D97978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72</w:t>
            </w:r>
          </w:p>
        </w:tc>
        <w:tc>
          <w:tcPr>
            <w:tcW w:w="1175" w:type="dxa"/>
            <w:tcBorders>
              <w:top w:val="nil"/>
              <w:left w:val="nil"/>
              <w:bottom w:val="single" w:sz="4" w:space="0" w:color="auto"/>
              <w:right w:val="single" w:sz="4" w:space="0" w:color="auto"/>
            </w:tcBorders>
            <w:shd w:val="clear" w:color="auto" w:fill="auto"/>
            <w:noWrap/>
            <w:vAlign w:val="center"/>
            <w:hideMark/>
          </w:tcPr>
          <w:p w14:paraId="1B9C809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30</w:t>
            </w:r>
          </w:p>
        </w:tc>
      </w:tr>
      <w:tr w:rsidR="000157E7" w:rsidRPr="009B39EC" w14:paraId="151BB9AD"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16507FB0"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22</w:t>
            </w:r>
          </w:p>
        </w:tc>
        <w:tc>
          <w:tcPr>
            <w:tcW w:w="2202" w:type="dxa"/>
            <w:tcBorders>
              <w:top w:val="nil"/>
              <w:left w:val="nil"/>
              <w:bottom w:val="single" w:sz="4" w:space="0" w:color="auto"/>
              <w:right w:val="single" w:sz="4" w:space="0" w:color="auto"/>
            </w:tcBorders>
            <w:shd w:val="clear" w:color="000000" w:fill="FFFFFF"/>
            <w:vAlign w:val="center"/>
            <w:hideMark/>
          </w:tcPr>
          <w:p w14:paraId="293F3DE8" w14:textId="026C7451"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The role of Municipal Councils in monitoring gender-based violence</w:t>
            </w:r>
          </w:p>
        </w:tc>
        <w:tc>
          <w:tcPr>
            <w:tcW w:w="2203" w:type="dxa"/>
            <w:tcBorders>
              <w:top w:val="nil"/>
              <w:left w:val="nil"/>
              <w:bottom w:val="single" w:sz="4" w:space="0" w:color="auto"/>
              <w:right w:val="single" w:sz="4" w:space="0" w:color="auto"/>
            </w:tcBorders>
            <w:shd w:val="clear" w:color="auto" w:fill="auto"/>
            <w:vAlign w:val="center"/>
            <w:hideMark/>
          </w:tcPr>
          <w:p w14:paraId="7A36C53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n/a</w:t>
            </w:r>
          </w:p>
        </w:tc>
        <w:tc>
          <w:tcPr>
            <w:tcW w:w="1546" w:type="dxa"/>
            <w:tcBorders>
              <w:top w:val="nil"/>
              <w:left w:val="nil"/>
              <w:bottom w:val="single" w:sz="4" w:space="0" w:color="auto"/>
              <w:right w:val="single" w:sz="4" w:space="0" w:color="auto"/>
            </w:tcBorders>
            <w:shd w:val="clear" w:color="auto" w:fill="auto"/>
            <w:noWrap/>
            <w:vAlign w:val="center"/>
            <w:hideMark/>
          </w:tcPr>
          <w:p w14:paraId="2239E52B"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61</w:t>
            </w:r>
          </w:p>
        </w:tc>
        <w:tc>
          <w:tcPr>
            <w:tcW w:w="1546" w:type="dxa"/>
            <w:tcBorders>
              <w:top w:val="nil"/>
              <w:left w:val="nil"/>
              <w:bottom w:val="single" w:sz="4" w:space="0" w:color="auto"/>
              <w:right w:val="single" w:sz="4" w:space="0" w:color="auto"/>
            </w:tcBorders>
            <w:shd w:val="clear" w:color="auto" w:fill="auto"/>
            <w:noWrap/>
            <w:vAlign w:val="center"/>
            <w:hideMark/>
          </w:tcPr>
          <w:p w14:paraId="2219700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52</w:t>
            </w:r>
          </w:p>
        </w:tc>
        <w:tc>
          <w:tcPr>
            <w:tcW w:w="1175" w:type="dxa"/>
            <w:tcBorders>
              <w:top w:val="nil"/>
              <w:left w:val="nil"/>
              <w:bottom w:val="single" w:sz="4" w:space="0" w:color="auto"/>
              <w:right w:val="single" w:sz="4" w:space="0" w:color="auto"/>
            </w:tcBorders>
            <w:shd w:val="clear" w:color="auto" w:fill="auto"/>
            <w:noWrap/>
            <w:vAlign w:val="center"/>
            <w:hideMark/>
          </w:tcPr>
          <w:p w14:paraId="44EB620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9</w:t>
            </w:r>
          </w:p>
        </w:tc>
      </w:tr>
      <w:tr w:rsidR="000157E7" w:rsidRPr="009B39EC" w14:paraId="2D819374"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63AED83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23</w:t>
            </w:r>
          </w:p>
        </w:tc>
        <w:tc>
          <w:tcPr>
            <w:tcW w:w="2202" w:type="dxa"/>
            <w:tcBorders>
              <w:top w:val="nil"/>
              <w:left w:val="nil"/>
              <w:bottom w:val="single" w:sz="4" w:space="0" w:color="auto"/>
              <w:right w:val="single" w:sz="4" w:space="0" w:color="auto"/>
            </w:tcBorders>
            <w:shd w:val="clear" w:color="000000" w:fill="FFFFFF"/>
            <w:vAlign w:val="center"/>
            <w:hideMark/>
          </w:tcPr>
          <w:p w14:paraId="45AABDC8" w14:textId="4D432E3F"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The role of Municipal Councils in monitoring gender-based violence</w:t>
            </w:r>
          </w:p>
        </w:tc>
        <w:tc>
          <w:tcPr>
            <w:tcW w:w="2203" w:type="dxa"/>
            <w:tcBorders>
              <w:top w:val="nil"/>
              <w:left w:val="nil"/>
              <w:bottom w:val="single" w:sz="4" w:space="0" w:color="auto"/>
              <w:right w:val="single" w:sz="4" w:space="0" w:color="auto"/>
            </w:tcBorders>
            <w:shd w:val="clear" w:color="auto" w:fill="auto"/>
            <w:vAlign w:val="center"/>
            <w:hideMark/>
          </w:tcPr>
          <w:p w14:paraId="423F73C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n/a</w:t>
            </w:r>
          </w:p>
        </w:tc>
        <w:tc>
          <w:tcPr>
            <w:tcW w:w="1546" w:type="dxa"/>
            <w:tcBorders>
              <w:top w:val="nil"/>
              <w:left w:val="nil"/>
              <w:bottom w:val="single" w:sz="4" w:space="0" w:color="auto"/>
              <w:right w:val="single" w:sz="4" w:space="0" w:color="auto"/>
            </w:tcBorders>
            <w:shd w:val="clear" w:color="auto" w:fill="auto"/>
            <w:noWrap/>
            <w:vAlign w:val="center"/>
            <w:hideMark/>
          </w:tcPr>
          <w:p w14:paraId="1749762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31</w:t>
            </w:r>
          </w:p>
        </w:tc>
        <w:tc>
          <w:tcPr>
            <w:tcW w:w="1546" w:type="dxa"/>
            <w:tcBorders>
              <w:top w:val="nil"/>
              <w:left w:val="nil"/>
              <w:bottom w:val="single" w:sz="4" w:space="0" w:color="auto"/>
              <w:right w:val="single" w:sz="4" w:space="0" w:color="auto"/>
            </w:tcBorders>
            <w:shd w:val="clear" w:color="auto" w:fill="auto"/>
            <w:noWrap/>
            <w:vAlign w:val="center"/>
            <w:hideMark/>
          </w:tcPr>
          <w:p w14:paraId="7845ABD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27</w:t>
            </w:r>
          </w:p>
        </w:tc>
        <w:tc>
          <w:tcPr>
            <w:tcW w:w="1175" w:type="dxa"/>
            <w:tcBorders>
              <w:top w:val="nil"/>
              <w:left w:val="nil"/>
              <w:bottom w:val="single" w:sz="4" w:space="0" w:color="auto"/>
              <w:right w:val="single" w:sz="4" w:space="0" w:color="auto"/>
            </w:tcBorders>
            <w:shd w:val="clear" w:color="auto" w:fill="auto"/>
            <w:noWrap/>
            <w:vAlign w:val="center"/>
            <w:hideMark/>
          </w:tcPr>
          <w:p w14:paraId="23DE9833"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w:t>
            </w:r>
          </w:p>
        </w:tc>
      </w:tr>
      <w:tr w:rsidR="000157E7" w:rsidRPr="009B39EC" w14:paraId="3DEAFF5B"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F028216"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24</w:t>
            </w:r>
          </w:p>
        </w:tc>
        <w:tc>
          <w:tcPr>
            <w:tcW w:w="2202" w:type="dxa"/>
            <w:tcBorders>
              <w:top w:val="nil"/>
              <w:left w:val="nil"/>
              <w:bottom w:val="single" w:sz="4" w:space="0" w:color="auto"/>
              <w:right w:val="single" w:sz="4" w:space="0" w:color="auto"/>
            </w:tcBorders>
            <w:shd w:val="clear" w:color="000000" w:fill="FFFFFF"/>
            <w:vAlign w:val="center"/>
            <w:hideMark/>
          </w:tcPr>
          <w:p w14:paraId="7E4561A0" w14:textId="152B6A9A"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Domestic violence and the role of responsible authorities</w:t>
            </w:r>
          </w:p>
        </w:tc>
        <w:tc>
          <w:tcPr>
            <w:tcW w:w="2203" w:type="dxa"/>
            <w:tcBorders>
              <w:top w:val="nil"/>
              <w:left w:val="nil"/>
              <w:bottom w:val="single" w:sz="4" w:space="0" w:color="auto"/>
              <w:right w:val="single" w:sz="4" w:space="0" w:color="auto"/>
            </w:tcBorders>
            <w:shd w:val="clear" w:color="auto" w:fill="auto"/>
            <w:vAlign w:val="center"/>
            <w:hideMark/>
          </w:tcPr>
          <w:p w14:paraId="46BF3CF2" w14:textId="4D8EA6CA"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Domestic violence and the role of responsible authorities</w:t>
            </w:r>
          </w:p>
        </w:tc>
        <w:tc>
          <w:tcPr>
            <w:tcW w:w="1546" w:type="dxa"/>
            <w:tcBorders>
              <w:top w:val="nil"/>
              <w:left w:val="nil"/>
              <w:bottom w:val="single" w:sz="4" w:space="0" w:color="auto"/>
              <w:right w:val="single" w:sz="4" w:space="0" w:color="auto"/>
            </w:tcBorders>
            <w:shd w:val="clear" w:color="auto" w:fill="auto"/>
            <w:noWrap/>
            <w:vAlign w:val="center"/>
            <w:hideMark/>
          </w:tcPr>
          <w:p w14:paraId="3191F9A4"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18</w:t>
            </w:r>
          </w:p>
        </w:tc>
        <w:tc>
          <w:tcPr>
            <w:tcW w:w="1546" w:type="dxa"/>
            <w:tcBorders>
              <w:top w:val="nil"/>
              <w:left w:val="nil"/>
              <w:bottom w:val="single" w:sz="4" w:space="0" w:color="auto"/>
              <w:right w:val="single" w:sz="4" w:space="0" w:color="auto"/>
            </w:tcBorders>
            <w:shd w:val="clear" w:color="auto" w:fill="auto"/>
            <w:noWrap/>
            <w:vAlign w:val="center"/>
            <w:hideMark/>
          </w:tcPr>
          <w:p w14:paraId="4822C75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16</w:t>
            </w:r>
          </w:p>
        </w:tc>
        <w:tc>
          <w:tcPr>
            <w:tcW w:w="1175" w:type="dxa"/>
            <w:tcBorders>
              <w:top w:val="nil"/>
              <w:left w:val="nil"/>
              <w:bottom w:val="single" w:sz="4" w:space="0" w:color="auto"/>
              <w:right w:val="single" w:sz="4" w:space="0" w:color="auto"/>
            </w:tcBorders>
            <w:shd w:val="clear" w:color="auto" w:fill="auto"/>
            <w:noWrap/>
            <w:vAlign w:val="center"/>
            <w:hideMark/>
          </w:tcPr>
          <w:p w14:paraId="7947433A"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w:t>
            </w:r>
          </w:p>
        </w:tc>
      </w:tr>
      <w:tr w:rsidR="000157E7" w:rsidRPr="009B39EC" w14:paraId="77BDC209"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7B53267D"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25</w:t>
            </w:r>
          </w:p>
        </w:tc>
        <w:tc>
          <w:tcPr>
            <w:tcW w:w="2202" w:type="dxa"/>
            <w:tcBorders>
              <w:top w:val="nil"/>
              <w:left w:val="nil"/>
              <w:bottom w:val="single" w:sz="4" w:space="0" w:color="auto"/>
              <w:right w:val="single" w:sz="4" w:space="0" w:color="auto"/>
            </w:tcBorders>
            <w:shd w:val="clear" w:color="000000" w:fill="FFFFFF"/>
            <w:vAlign w:val="center"/>
            <w:hideMark/>
          </w:tcPr>
          <w:p w14:paraId="3FF880D9" w14:textId="1C3C18A0"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Understanding childhood and children's needs</w:t>
            </w:r>
          </w:p>
        </w:tc>
        <w:tc>
          <w:tcPr>
            <w:tcW w:w="2203" w:type="dxa"/>
            <w:tcBorders>
              <w:top w:val="nil"/>
              <w:left w:val="nil"/>
              <w:bottom w:val="single" w:sz="4" w:space="0" w:color="auto"/>
              <w:right w:val="single" w:sz="4" w:space="0" w:color="auto"/>
            </w:tcBorders>
            <w:shd w:val="clear" w:color="auto" w:fill="auto"/>
            <w:vAlign w:val="center"/>
            <w:hideMark/>
          </w:tcPr>
          <w:p w14:paraId="3B73CCFD" w14:textId="2CDFD53E"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Understanding childhood and children's needs</w:t>
            </w:r>
          </w:p>
        </w:tc>
        <w:tc>
          <w:tcPr>
            <w:tcW w:w="1546" w:type="dxa"/>
            <w:tcBorders>
              <w:top w:val="nil"/>
              <w:left w:val="nil"/>
              <w:bottom w:val="single" w:sz="4" w:space="0" w:color="auto"/>
              <w:right w:val="single" w:sz="4" w:space="0" w:color="auto"/>
            </w:tcBorders>
            <w:shd w:val="clear" w:color="auto" w:fill="auto"/>
            <w:noWrap/>
            <w:vAlign w:val="center"/>
            <w:hideMark/>
          </w:tcPr>
          <w:p w14:paraId="648BDCAD"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102</w:t>
            </w:r>
          </w:p>
        </w:tc>
        <w:tc>
          <w:tcPr>
            <w:tcW w:w="1546" w:type="dxa"/>
            <w:tcBorders>
              <w:top w:val="nil"/>
              <w:left w:val="nil"/>
              <w:bottom w:val="single" w:sz="4" w:space="0" w:color="auto"/>
              <w:right w:val="single" w:sz="4" w:space="0" w:color="auto"/>
            </w:tcBorders>
            <w:shd w:val="clear" w:color="auto" w:fill="auto"/>
            <w:noWrap/>
            <w:vAlign w:val="center"/>
            <w:hideMark/>
          </w:tcPr>
          <w:p w14:paraId="649DBFB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91</w:t>
            </w:r>
          </w:p>
        </w:tc>
        <w:tc>
          <w:tcPr>
            <w:tcW w:w="1175" w:type="dxa"/>
            <w:tcBorders>
              <w:top w:val="nil"/>
              <w:left w:val="nil"/>
              <w:bottom w:val="single" w:sz="4" w:space="0" w:color="auto"/>
              <w:right w:val="single" w:sz="4" w:space="0" w:color="auto"/>
            </w:tcBorders>
            <w:shd w:val="clear" w:color="auto" w:fill="auto"/>
            <w:noWrap/>
            <w:vAlign w:val="center"/>
            <w:hideMark/>
          </w:tcPr>
          <w:p w14:paraId="12D1051C"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11</w:t>
            </w:r>
          </w:p>
        </w:tc>
      </w:tr>
      <w:tr w:rsidR="000157E7" w:rsidRPr="009B39EC" w14:paraId="42F89526" w14:textId="77777777" w:rsidTr="000157E7">
        <w:trPr>
          <w:trHeight w:val="1401"/>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5C9BC5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26</w:t>
            </w:r>
          </w:p>
        </w:tc>
        <w:tc>
          <w:tcPr>
            <w:tcW w:w="2202" w:type="dxa"/>
            <w:tcBorders>
              <w:top w:val="nil"/>
              <w:left w:val="nil"/>
              <w:bottom w:val="single" w:sz="4" w:space="0" w:color="auto"/>
              <w:right w:val="single" w:sz="4" w:space="0" w:color="auto"/>
            </w:tcBorders>
            <w:shd w:val="clear" w:color="000000" w:fill="FFFFFF"/>
            <w:vAlign w:val="center"/>
            <w:hideMark/>
          </w:tcPr>
          <w:p w14:paraId="674A62BD" w14:textId="2574F2A3" w:rsidR="000157E7" w:rsidRPr="009B39EC" w:rsidRDefault="00A35BA4"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Principles of gender equality and gender responsive budgeting</w:t>
            </w:r>
          </w:p>
        </w:tc>
        <w:tc>
          <w:tcPr>
            <w:tcW w:w="2203" w:type="dxa"/>
            <w:tcBorders>
              <w:top w:val="nil"/>
              <w:left w:val="nil"/>
              <w:bottom w:val="single" w:sz="4" w:space="0" w:color="auto"/>
              <w:right w:val="single" w:sz="4" w:space="0" w:color="auto"/>
            </w:tcBorders>
            <w:shd w:val="clear" w:color="auto" w:fill="auto"/>
            <w:vAlign w:val="center"/>
            <w:hideMark/>
          </w:tcPr>
          <w:p w14:paraId="2BBADB68" w14:textId="70F127D1"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Gender Equality and Non-discrimination</w:t>
            </w:r>
          </w:p>
        </w:tc>
        <w:tc>
          <w:tcPr>
            <w:tcW w:w="1546" w:type="dxa"/>
            <w:tcBorders>
              <w:top w:val="nil"/>
              <w:left w:val="nil"/>
              <w:bottom w:val="single" w:sz="4" w:space="0" w:color="auto"/>
              <w:right w:val="single" w:sz="4" w:space="0" w:color="auto"/>
            </w:tcBorders>
            <w:shd w:val="clear" w:color="auto" w:fill="auto"/>
            <w:noWrap/>
            <w:vAlign w:val="center"/>
            <w:hideMark/>
          </w:tcPr>
          <w:p w14:paraId="3A7FEA1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31</w:t>
            </w:r>
          </w:p>
        </w:tc>
        <w:tc>
          <w:tcPr>
            <w:tcW w:w="1546" w:type="dxa"/>
            <w:tcBorders>
              <w:top w:val="nil"/>
              <w:left w:val="nil"/>
              <w:bottom w:val="single" w:sz="4" w:space="0" w:color="auto"/>
              <w:right w:val="single" w:sz="4" w:space="0" w:color="auto"/>
            </w:tcBorders>
            <w:shd w:val="clear" w:color="auto" w:fill="auto"/>
            <w:noWrap/>
            <w:vAlign w:val="center"/>
            <w:hideMark/>
          </w:tcPr>
          <w:p w14:paraId="58444EDE"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28</w:t>
            </w:r>
          </w:p>
        </w:tc>
        <w:tc>
          <w:tcPr>
            <w:tcW w:w="1175" w:type="dxa"/>
            <w:tcBorders>
              <w:top w:val="nil"/>
              <w:left w:val="nil"/>
              <w:bottom w:val="single" w:sz="4" w:space="0" w:color="auto"/>
              <w:right w:val="single" w:sz="4" w:space="0" w:color="auto"/>
            </w:tcBorders>
            <w:shd w:val="clear" w:color="auto" w:fill="auto"/>
            <w:noWrap/>
            <w:vAlign w:val="center"/>
            <w:hideMark/>
          </w:tcPr>
          <w:p w14:paraId="4F9284AC"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3</w:t>
            </w:r>
          </w:p>
        </w:tc>
      </w:tr>
      <w:tr w:rsidR="000157E7" w:rsidRPr="009B39EC" w14:paraId="3F92B392" w14:textId="77777777" w:rsidTr="000157E7">
        <w:trPr>
          <w:trHeight w:val="2043"/>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57EA467"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27</w:t>
            </w:r>
          </w:p>
        </w:tc>
        <w:tc>
          <w:tcPr>
            <w:tcW w:w="2202" w:type="dxa"/>
            <w:tcBorders>
              <w:top w:val="nil"/>
              <w:left w:val="nil"/>
              <w:bottom w:val="single" w:sz="4" w:space="0" w:color="auto"/>
              <w:right w:val="single" w:sz="4" w:space="0" w:color="auto"/>
            </w:tcBorders>
            <w:shd w:val="clear" w:color="000000" w:fill="FFFFFF"/>
            <w:vAlign w:val="center"/>
            <w:hideMark/>
          </w:tcPr>
          <w:p w14:paraId="7675D5D6" w14:textId="250B5C81"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 xml:space="preserve"> </w:t>
            </w:r>
            <w:r w:rsidR="00A35BA4" w:rsidRPr="009B39EC">
              <w:rPr>
                <w:rFonts w:ascii="Arial" w:eastAsia="Times New Roman" w:hAnsi="Arial" w:cs="Arial"/>
                <w:color w:val="000000"/>
                <w:sz w:val="20"/>
                <w:szCs w:val="20"/>
                <w:lang w:val="en-US"/>
              </w:rPr>
              <w:t>Legal framework on gender budgeting, budget as a reflection of central and local policies. Budget implementation, monitoring and reporting</w:t>
            </w:r>
          </w:p>
        </w:tc>
        <w:tc>
          <w:tcPr>
            <w:tcW w:w="2203" w:type="dxa"/>
            <w:tcBorders>
              <w:top w:val="nil"/>
              <w:left w:val="nil"/>
              <w:bottom w:val="single" w:sz="4" w:space="0" w:color="auto"/>
              <w:right w:val="single" w:sz="4" w:space="0" w:color="auto"/>
            </w:tcBorders>
            <w:shd w:val="clear" w:color="auto" w:fill="auto"/>
            <w:vAlign w:val="center"/>
            <w:hideMark/>
          </w:tcPr>
          <w:p w14:paraId="21996B74" w14:textId="35BF37BA" w:rsidR="000157E7" w:rsidRPr="009B39EC" w:rsidRDefault="00047D20"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Local government finances</w:t>
            </w:r>
          </w:p>
        </w:tc>
        <w:tc>
          <w:tcPr>
            <w:tcW w:w="1546" w:type="dxa"/>
            <w:tcBorders>
              <w:top w:val="nil"/>
              <w:left w:val="nil"/>
              <w:bottom w:val="single" w:sz="4" w:space="0" w:color="auto"/>
              <w:right w:val="single" w:sz="4" w:space="0" w:color="auto"/>
            </w:tcBorders>
            <w:shd w:val="clear" w:color="auto" w:fill="auto"/>
            <w:noWrap/>
            <w:vAlign w:val="center"/>
            <w:hideMark/>
          </w:tcPr>
          <w:p w14:paraId="15BC0C99"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66</w:t>
            </w:r>
          </w:p>
        </w:tc>
        <w:tc>
          <w:tcPr>
            <w:tcW w:w="1546" w:type="dxa"/>
            <w:tcBorders>
              <w:top w:val="nil"/>
              <w:left w:val="nil"/>
              <w:bottom w:val="single" w:sz="4" w:space="0" w:color="auto"/>
              <w:right w:val="single" w:sz="4" w:space="0" w:color="auto"/>
            </w:tcBorders>
            <w:shd w:val="clear" w:color="auto" w:fill="auto"/>
            <w:noWrap/>
            <w:vAlign w:val="center"/>
            <w:hideMark/>
          </w:tcPr>
          <w:p w14:paraId="6A3BF9AF"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43</w:t>
            </w:r>
          </w:p>
        </w:tc>
        <w:tc>
          <w:tcPr>
            <w:tcW w:w="1175" w:type="dxa"/>
            <w:tcBorders>
              <w:top w:val="nil"/>
              <w:left w:val="nil"/>
              <w:bottom w:val="single" w:sz="4" w:space="0" w:color="auto"/>
              <w:right w:val="single" w:sz="4" w:space="0" w:color="auto"/>
            </w:tcBorders>
            <w:shd w:val="clear" w:color="auto" w:fill="auto"/>
            <w:noWrap/>
            <w:vAlign w:val="center"/>
            <w:hideMark/>
          </w:tcPr>
          <w:p w14:paraId="19E69FF2" w14:textId="77777777" w:rsidR="000157E7" w:rsidRPr="009B39EC" w:rsidRDefault="000157E7" w:rsidP="00C76105">
            <w:pPr>
              <w:spacing w:after="0" w:line="240" w:lineRule="auto"/>
              <w:jc w:val="center"/>
              <w:rPr>
                <w:rFonts w:ascii="Arial" w:eastAsia="Times New Roman" w:hAnsi="Arial" w:cs="Arial"/>
                <w:color w:val="000000"/>
                <w:sz w:val="20"/>
                <w:szCs w:val="20"/>
                <w:lang w:val="en-US"/>
              </w:rPr>
            </w:pPr>
            <w:r w:rsidRPr="009B39EC">
              <w:rPr>
                <w:rFonts w:ascii="Arial" w:eastAsia="Times New Roman" w:hAnsi="Arial" w:cs="Arial"/>
                <w:color w:val="000000"/>
                <w:sz w:val="20"/>
                <w:szCs w:val="20"/>
                <w:lang w:val="en-US"/>
              </w:rPr>
              <w:t>23</w:t>
            </w:r>
          </w:p>
        </w:tc>
      </w:tr>
      <w:tr w:rsidR="000157E7" w:rsidRPr="009B39EC" w14:paraId="2D3EFEE1" w14:textId="77777777" w:rsidTr="00C76105">
        <w:trPr>
          <w:trHeight w:val="676"/>
        </w:trPr>
        <w:tc>
          <w:tcPr>
            <w:tcW w:w="5431"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79FFCBC4" w14:textId="77777777" w:rsidR="000157E7" w:rsidRPr="009B39EC" w:rsidRDefault="000157E7"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 xml:space="preserve">Total </w:t>
            </w:r>
          </w:p>
        </w:tc>
        <w:tc>
          <w:tcPr>
            <w:tcW w:w="1546" w:type="dxa"/>
            <w:tcBorders>
              <w:top w:val="nil"/>
              <w:left w:val="nil"/>
              <w:bottom w:val="single" w:sz="4" w:space="0" w:color="auto"/>
              <w:right w:val="single" w:sz="4" w:space="0" w:color="auto"/>
            </w:tcBorders>
            <w:shd w:val="clear" w:color="000000" w:fill="DDEBF7"/>
            <w:noWrap/>
            <w:vAlign w:val="center"/>
            <w:hideMark/>
          </w:tcPr>
          <w:p w14:paraId="65391556" w14:textId="77777777" w:rsidR="000157E7" w:rsidRPr="009B39EC" w:rsidRDefault="000157E7"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1136</w:t>
            </w:r>
          </w:p>
        </w:tc>
        <w:tc>
          <w:tcPr>
            <w:tcW w:w="1546" w:type="dxa"/>
            <w:tcBorders>
              <w:top w:val="nil"/>
              <w:left w:val="nil"/>
              <w:bottom w:val="single" w:sz="4" w:space="0" w:color="auto"/>
              <w:right w:val="single" w:sz="4" w:space="0" w:color="auto"/>
            </w:tcBorders>
            <w:shd w:val="clear" w:color="000000" w:fill="DDEBF7"/>
            <w:noWrap/>
            <w:vAlign w:val="center"/>
            <w:hideMark/>
          </w:tcPr>
          <w:p w14:paraId="59F47D40" w14:textId="77777777" w:rsidR="000157E7" w:rsidRPr="009B39EC" w:rsidRDefault="000157E7"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956</w:t>
            </w:r>
          </w:p>
        </w:tc>
        <w:tc>
          <w:tcPr>
            <w:tcW w:w="1175" w:type="dxa"/>
            <w:tcBorders>
              <w:top w:val="nil"/>
              <w:left w:val="nil"/>
              <w:bottom w:val="single" w:sz="4" w:space="0" w:color="auto"/>
              <w:right w:val="single" w:sz="4" w:space="0" w:color="auto"/>
            </w:tcBorders>
            <w:shd w:val="clear" w:color="000000" w:fill="DDEBF7"/>
            <w:noWrap/>
            <w:vAlign w:val="center"/>
            <w:hideMark/>
          </w:tcPr>
          <w:p w14:paraId="1375E781" w14:textId="77777777" w:rsidR="000157E7" w:rsidRPr="009B39EC" w:rsidRDefault="000157E7" w:rsidP="00C76105">
            <w:pPr>
              <w:spacing w:after="0" w:line="240" w:lineRule="auto"/>
              <w:jc w:val="center"/>
              <w:rPr>
                <w:rFonts w:ascii="Arial" w:eastAsia="Times New Roman" w:hAnsi="Arial" w:cs="Arial"/>
                <w:b/>
                <w:bCs/>
                <w:color w:val="000000"/>
                <w:sz w:val="20"/>
                <w:szCs w:val="20"/>
                <w:lang w:val="en-US"/>
              </w:rPr>
            </w:pPr>
            <w:r w:rsidRPr="009B39EC">
              <w:rPr>
                <w:rFonts w:ascii="Arial" w:eastAsia="Times New Roman" w:hAnsi="Arial" w:cs="Arial"/>
                <w:b/>
                <w:bCs/>
                <w:color w:val="000000"/>
                <w:sz w:val="20"/>
                <w:szCs w:val="20"/>
                <w:lang w:val="en-US"/>
              </w:rPr>
              <w:t>180</w:t>
            </w:r>
          </w:p>
        </w:tc>
      </w:tr>
    </w:tbl>
    <w:p w14:paraId="64C4CE5C" w14:textId="77777777" w:rsidR="000157E7" w:rsidRPr="009B39EC" w:rsidRDefault="000157E7" w:rsidP="000157E7">
      <w:pPr>
        <w:spacing w:after="0"/>
        <w:jc w:val="both"/>
        <w:rPr>
          <w:rFonts w:ascii="Arial" w:hAnsi="Arial" w:cs="Arial"/>
          <w:sz w:val="20"/>
          <w:szCs w:val="20"/>
        </w:rPr>
      </w:pPr>
    </w:p>
    <w:p w14:paraId="6D2D8A58" w14:textId="528FBE55" w:rsidR="000157E7" w:rsidRDefault="000157E7" w:rsidP="000157E7">
      <w:pPr>
        <w:spacing w:after="0"/>
        <w:jc w:val="both"/>
        <w:rPr>
          <w:rFonts w:ascii="Arial" w:hAnsi="Arial" w:cs="Arial"/>
          <w:sz w:val="20"/>
          <w:szCs w:val="20"/>
        </w:rPr>
      </w:pPr>
    </w:p>
    <w:p w14:paraId="6F85AE19" w14:textId="7674F282" w:rsidR="009B39EC" w:rsidRDefault="009B39EC" w:rsidP="000157E7">
      <w:pPr>
        <w:spacing w:after="0"/>
        <w:jc w:val="both"/>
        <w:rPr>
          <w:rFonts w:ascii="Arial" w:hAnsi="Arial" w:cs="Arial"/>
          <w:sz w:val="20"/>
          <w:szCs w:val="20"/>
        </w:rPr>
      </w:pPr>
    </w:p>
    <w:p w14:paraId="7F88681F" w14:textId="77777777" w:rsidR="009B39EC" w:rsidRPr="009B39EC" w:rsidRDefault="009B39EC" w:rsidP="000157E7">
      <w:pPr>
        <w:spacing w:after="0"/>
        <w:jc w:val="both"/>
        <w:rPr>
          <w:rFonts w:ascii="Arial" w:hAnsi="Arial" w:cs="Arial"/>
          <w:sz w:val="20"/>
          <w:szCs w:val="20"/>
        </w:rPr>
      </w:pPr>
    </w:p>
    <w:p w14:paraId="07213387" w14:textId="11D6CDAD" w:rsidR="000157E7" w:rsidRPr="009B39EC" w:rsidRDefault="00A35BA4" w:rsidP="000157E7">
      <w:pPr>
        <w:spacing w:after="0"/>
        <w:jc w:val="both"/>
        <w:rPr>
          <w:rFonts w:ascii="Arial" w:hAnsi="Arial" w:cs="Arial"/>
          <w:sz w:val="20"/>
          <w:szCs w:val="20"/>
        </w:rPr>
      </w:pPr>
      <w:r w:rsidRPr="009B39EC">
        <w:rPr>
          <w:rFonts w:ascii="Arial" w:hAnsi="Arial" w:cs="Arial"/>
          <w:sz w:val="20"/>
          <w:szCs w:val="20"/>
        </w:rPr>
        <w:lastRenderedPageBreak/>
        <w:t xml:space="preserve">Table </w:t>
      </w:r>
      <w:proofErr w:type="gramStart"/>
      <w:r w:rsidRPr="009B39EC">
        <w:rPr>
          <w:rFonts w:ascii="Arial" w:hAnsi="Arial" w:cs="Arial"/>
          <w:sz w:val="20"/>
          <w:szCs w:val="20"/>
        </w:rPr>
        <w:t>3:</w:t>
      </w:r>
      <w:proofErr w:type="gramEnd"/>
      <w:r w:rsidRPr="009B39EC">
        <w:rPr>
          <w:rFonts w:ascii="Arial" w:hAnsi="Arial" w:cs="Arial"/>
          <w:sz w:val="20"/>
          <w:szCs w:val="20"/>
        </w:rPr>
        <w:t xml:space="preserve"> Data on trainings </w:t>
      </w:r>
      <w:proofErr w:type="spellStart"/>
      <w:r w:rsidRPr="009B39EC">
        <w:rPr>
          <w:rFonts w:ascii="Arial" w:hAnsi="Arial" w:cs="Arial"/>
          <w:sz w:val="20"/>
          <w:szCs w:val="20"/>
        </w:rPr>
        <w:t>related</w:t>
      </w:r>
      <w:proofErr w:type="spellEnd"/>
      <w:r w:rsidRPr="009B39EC">
        <w:rPr>
          <w:rFonts w:ascii="Arial" w:hAnsi="Arial" w:cs="Arial"/>
          <w:sz w:val="20"/>
          <w:szCs w:val="20"/>
        </w:rPr>
        <w:t xml:space="preserve"> to the Istanbul Convention for the </w:t>
      </w:r>
      <w:proofErr w:type="spellStart"/>
      <w:r w:rsidRPr="009B39EC">
        <w:rPr>
          <w:rFonts w:ascii="Arial" w:hAnsi="Arial" w:cs="Arial"/>
          <w:sz w:val="20"/>
          <w:szCs w:val="20"/>
        </w:rPr>
        <w:t>period</w:t>
      </w:r>
      <w:proofErr w:type="spellEnd"/>
      <w:r w:rsidRPr="009B39EC">
        <w:rPr>
          <w:rFonts w:ascii="Arial" w:hAnsi="Arial" w:cs="Arial"/>
          <w:sz w:val="20"/>
          <w:szCs w:val="20"/>
        </w:rPr>
        <w:t xml:space="preserve"> </w:t>
      </w:r>
      <w:proofErr w:type="spellStart"/>
      <w:r w:rsidRPr="009B39EC">
        <w:rPr>
          <w:rFonts w:ascii="Arial" w:hAnsi="Arial" w:cs="Arial"/>
          <w:sz w:val="20"/>
          <w:szCs w:val="20"/>
        </w:rPr>
        <w:t>January</w:t>
      </w:r>
      <w:proofErr w:type="spellEnd"/>
      <w:r w:rsidRPr="009B39EC">
        <w:rPr>
          <w:rFonts w:ascii="Arial" w:hAnsi="Arial" w:cs="Arial"/>
          <w:sz w:val="20"/>
          <w:szCs w:val="20"/>
        </w:rPr>
        <w:t xml:space="preserve"> - 24 June 2021</w:t>
      </w:r>
    </w:p>
    <w:p w14:paraId="39F956D7" w14:textId="2707B23C" w:rsidR="00A35BA4" w:rsidRPr="009B39EC" w:rsidRDefault="00A35BA4" w:rsidP="000157E7">
      <w:pPr>
        <w:spacing w:after="0"/>
        <w:jc w:val="both"/>
        <w:rPr>
          <w:rFonts w:ascii="Arial" w:hAnsi="Arial" w:cs="Arial"/>
          <w:sz w:val="20"/>
          <w:szCs w:val="20"/>
        </w:rPr>
      </w:pPr>
    </w:p>
    <w:p w14:paraId="6D4D5D89" w14:textId="77777777" w:rsidR="009C6CA1" w:rsidRPr="009B39EC" w:rsidRDefault="009C6CA1" w:rsidP="000157E7">
      <w:pPr>
        <w:spacing w:after="0"/>
        <w:jc w:val="both"/>
        <w:rPr>
          <w:rFonts w:ascii="Arial" w:hAnsi="Arial" w:cs="Arial"/>
          <w:sz w:val="20"/>
          <w:szCs w:val="20"/>
        </w:rPr>
      </w:pPr>
    </w:p>
    <w:tbl>
      <w:tblPr>
        <w:tblW w:w="9351" w:type="dxa"/>
        <w:tblLook w:val="04A0" w:firstRow="1" w:lastRow="0" w:firstColumn="1" w:lastColumn="0" w:noHBand="0" w:noVBand="1"/>
      </w:tblPr>
      <w:tblGrid>
        <w:gridCol w:w="676"/>
        <w:gridCol w:w="1864"/>
        <w:gridCol w:w="1781"/>
        <w:gridCol w:w="1894"/>
        <w:gridCol w:w="1568"/>
        <w:gridCol w:w="1568"/>
      </w:tblGrid>
      <w:tr w:rsidR="00A35BA4" w:rsidRPr="009B39EC" w14:paraId="347BF58F" w14:textId="77777777" w:rsidTr="00A35BA4">
        <w:trPr>
          <w:trHeight w:val="614"/>
        </w:trPr>
        <w:tc>
          <w:tcPr>
            <w:tcW w:w="676" w:type="dxa"/>
            <w:tcBorders>
              <w:top w:val="single" w:sz="8" w:space="0" w:color="auto"/>
              <w:left w:val="single" w:sz="8" w:space="0" w:color="auto"/>
              <w:bottom w:val="single" w:sz="8" w:space="0" w:color="auto"/>
              <w:right w:val="single" w:sz="8" w:space="0" w:color="auto"/>
            </w:tcBorders>
            <w:shd w:val="clear" w:color="000000" w:fill="5B9BD5"/>
            <w:vAlign w:val="center"/>
            <w:hideMark/>
          </w:tcPr>
          <w:p w14:paraId="28E5E98B" w14:textId="6BE8E94C" w:rsidR="00A35BA4" w:rsidRPr="009B39EC" w:rsidRDefault="00A35BA4" w:rsidP="00A35BA4">
            <w:pPr>
              <w:spacing w:after="0" w:line="240" w:lineRule="auto"/>
              <w:jc w:val="center"/>
              <w:rPr>
                <w:rFonts w:ascii="Arial" w:hAnsi="Arial" w:cs="Arial"/>
                <w:b/>
                <w:bCs/>
                <w:color w:val="000000"/>
                <w:sz w:val="20"/>
                <w:szCs w:val="20"/>
              </w:rPr>
            </w:pPr>
            <w:r w:rsidRPr="009B39EC">
              <w:rPr>
                <w:rFonts w:ascii="Arial" w:eastAsia="Times New Roman" w:hAnsi="Arial" w:cs="Arial"/>
                <w:b/>
                <w:bCs/>
                <w:color w:val="000000"/>
                <w:sz w:val="20"/>
                <w:szCs w:val="20"/>
                <w:lang w:val="en-US"/>
              </w:rPr>
              <w:t>No</w:t>
            </w:r>
          </w:p>
        </w:tc>
        <w:tc>
          <w:tcPr>
            <w:tcW w:w="1864" w:type="dxa"/>
            <w:tcBorders>
              <w:top w:val="single" w:sz="8" w:space="0" w:color="auto"/>
              <w:left w:val="nil"/>
              <w:bottom w:val="single" w:sz="8" w:space="0" w:color="auto"/>
              <w:right w:val="single" w:sz="8" w:space="0" w:color="auto"/>
            </w:tcBorders>
            <w:shd w:val="clear" w:color="000000" w:fill="5B9BD5"/>
            <w:vAlign w:val="center"/>
            <w:hideMark/>
          </w:tcPr>
          <w:p w14:paraId="173D45C7" w14:textId="1398A82D" w:rsidR="00A35BA4" w:rsidRPr="009B39EC" w:rsidRDefault="00A35BA4" w:rsidP="00A35BA4">
            <w:pPr>
              <w:spacing w:after="0" w:line="240" w:lineRule="auto"/>
              <w:jc w:val="center"/>
              <w:rPr>
                <w:rFonts w:ascii="Arial" w:hAnsi="Arial" w:cs="Arial"/>
                <w:b/>
                <w:bCs/>
                <w:color w:val="000000"/>
                <w:sz w:val="20"/>
                <w:szCs w:val="20"/>
              </w:rPr>
            </w:pPr>
            <w:r w:rsidRPr="009B39EC">
              <w:rPr>
                <w:rFonts w:ascii="Arial" w:eastAsia="Times New Roman" w:hAnsi="Arial" w:cs="Arial"/>
                <w:b/>
                <w:bCs/>
                <w:color w:val="000000"/>
                <w:sz w:val="20"/>
                <w:szCs w:val="20"/>
                <w:lang w:val="en-US"/>
              </w:rPr>
              <w:t>Training topic</w:t>
            </w:r>
          </w:p>
        </w:tc>
        <w:tc>
          <w:tcPr>
            <w:tcW w:w="1781" w:type="dxa"/>
            <w:tcBorders>
              <w:top w:val="single" w:sz="8" w:space="0" w:color="auto"/>
              <w:left w:val="nil"/>
              <w:bottom w:val="single" w:sz="8" w:space="0" w:color="auto"/>
              <w:right w:val="single" w:sz="8" w:space="0" w:color="auto"/>
            </w:tcBorders>
            <w:shd w:val="clear" w:color="000000" w:fill="5B9BD5"/>
            <w:vAlign w:val="center"/>
            <w:hideMark/>
          </w:tcPr>
          <w:p w14:paraId="24AA9353" w14:textId="445374E6" w:rsidR="00A35BA4" w:rsidRPr="009B39EC" w:rsidRDefault="00A35BA4" w:rsidP="00A35BA4">
            <w:pPr>
              <w:spacing w:after="0" w:line="240" w:lineRule="auto"/>
              <w:jc w:val="center"/>
              <w:rPr>
                <w:rFonts w:ascii="Arial" w:hAnsi="Arial" w:cs="Arial"/>
                <w:b/>
                <w:bCs/>
                <w:color w:val="000000"/>
                <w:sz w:val="20"/>
                <w:szCs w:val="20"/>
              </w:rPr>
            </w:pPr>
            <w:r w:rsidRPr="009B39EC">
              <w:rPr>
                <w:rFonts w:ascii="Arial" w:eastAsia="Times New Roman" w:hAnsi="Arial" w:cs="Arial"/>
                <w:b/>
                <w:bCs/>
                <w:color w:val="000000"/>
                <w:sz w:val="20"/>
                <w:szCs w:val="20"/>
                <w:lang w:val="en-US"/>
              </w:rPr>
              <w:t>Training module</w:t>
            </w:r>
          </w:p>
        </w:tc>
        <w:tc>
          <w:tcPr>
            <w:tcW w:w="1894" w:type="dxa"/>
            <w:tcBorders>
              <w:top w:val="single" w:sz="8" w:space="0" w:color="auto"/>
              <w:left w:val="nil"/>
              <w:bottom w:val="single" w:sz="8" w:space="0" w:color="auto"/>
              <w:right w:val="single" w:sz="8" w:space="0" w:color="auto"/>
            </w:tcBorders>
            <w:shd w:val="clear" w:color="000000" w:fill="5B9BD5"/>
            <w:vAlign w:val="center"/>
            <w:hideMark/>
          </w:tcPr>
          <w:p w14:paraId="3EE29B30" w14:textId="51793E79" w:rsidR="00A35BA4" w:rsidRPr="009B39EC" w:rsidRDefault="00A35BA4" w:rsidP="00A35BA4">
            <w:pPr>
              <w:spacing w:after="0" w:line="240" w:lineRule="auto"/>
              <w:jc w:val="center"/>
              <w:rPr>
                <w:rFonts w:ascii="Arial" w:hAnsi="Arial" w:cs="Arial"/>
                <w:b/>
                <w:bCs/>
                <w:color w:val="000000"/>
                <w:sz w:val="20"/>
                <w:szCs w:val="20"/>
              </w:rPr>
            </w:pPr>
            <w:r w:rsidRPr="009B39EC">
              <w:rPr>
                <w:rFonts w:ascii="Arial" w:eastAsia="Times New Roman" w:hAnsi="Arial" w:cs="Arial"/>
                <w:b/>
                <w:bCs/>
                <w:color w:val="000000"/>
                <w:sz w:val="20"/>
                <w:szCs w:val="20"/>
                <w:lang w:val="en-US"/>
              </w:rPr>
              <w:t xml:space="preserve">Trained persons </w:t>
            </w:r>
          </w:p>
        </w:tc>
        <w:tc>
          <w:tcPr>
            <w:tcW w:w="1568" w:type="dxa"/>
            <w:tcBorders>
              <w:top w:val="single" w:sz="8" w:space="0" w:color="auto"/>
              <w:left w:val="nil"/>
              <w:bottom w:val="single" w:sz="8" w:space="0" w:color="auto"/>
              <w:right w:val="single" w:sz="8" w:space="0" w:color="auto"/>
            </w:tcBorders>
            <w:shd w:val="clear" w:color="000000" w:fill="5B9BD5"/>
            <w:vAlign w:val="center"/>
            <w:hideMark/>
          </w:tcPr>
          <w:p w14:paraId="16685795" w14:textId="4B80E276" w:rsidR="00A35BA4" w:rsidRPr="009B39EC" w:rsidRDefault="00A35BA4" w:rsidP="00A35BA4">
            <w:pPr>
              <w:spacing w:after="0" w:line="240" w:lineRule="auto"/>
              <w:jc w:val="center"/>
              <w:rPr>
                <w:rFonts w:ascii="Arial" w:hAnsi="Arial" w:cs="Arial"/>
                <w:b/>
                <w:bCs/>
                <w:color w:val="000000"/>
                <w:sz w:val="20"/>
                <w:szCs w:val="20"/>
              </w:rPr>
            </w:pPr>
            <w:r w:rsidRPr="009B39EC">
              <w:rPr>
                <w:rFonts w:ascii="Arial" w:eastAsia="Times New Roman" w:hAnsi="Arial" w:cs="Arial"/>
                <w:b/>
                <w:bCs/>
                <w:color w:val="000000"/>
                <w:sz w:val="20"/>
                <w:szCs w:val="20"/>
                <w:lang w:val="en-US"/>
              </w:rPr>
              <w:t>Females</w:t>
            </w:r>
          </w:p>
        </w:tc>
        <w:tc>
          <w:tcPr>
            <w:tcW w:w="1568" w:type="dxa"/>
            <w:tcBorders>
              <w:top w:val="single" w:sz="8" w:space="0" w:color="auto"/>
              <w:left w:val="nil"/>
              <w:bottom w:val="single" w:sz="8" w:space="0" w:color="auto"/>
              <w:right w:val="single" w:sz="8" w:space="0" w:color="auto"/>
            </w:tcBorders>
            <w:shd w:val="clear" w:color="000000" w:fill="5B9BD5"/>
            <w:vAlign w:val="center"/>
            <w:hideMark/>
          </w:tcPr>
          <w:p w14:paraId="3BF4AC1F" w14:textId="0CB111F4" w:rsidR="00A35BA4" w:rsidRPr="009B39EC" w:rsidRDefault="00A35BA4" w:rsidP="00A35BA4">
            <w:pPr>
              <w:spacing w:after="0" w:line="240" w:lineRule="auto"/>
              <w:jc w:val="center"/>
              <w:rPr>
                <w:rFonts w:ascii="Arial" w:hAnsi="Arial" w:cs="Arial"/>
                <w:b/>
                <w:bCs/>
                <w:color w:val="000000"/>
                <w:sz w:val="20"/>
                <w:szCs w:val="20"/>
              </w:rPr>
            </w:pPr>
            <w:r w:rsidRPr="009B39EC">
              <w:rPr>
                <w:rFonts w:ascii="Arial" w:eastAsia="Times New Roman" w:hAnsi="Arial" w:cs="Arial"/>
                <w:b/>
                <w:bCs/>
                <w:color w:val="000000"/>
                <w:sz w:val="20"/>
                <w:szCs w:val="20"/>
                <w:lang w:val="en-US"/>
              </w:rPr>
              <w:t>Males</w:t>
            </w:r>
          </w:p>
        </w:tc>
      </w:tr>
      <w:tr w:rsidR="00A35BA4" w:rsidRPr="009B39EC" w14:paraId="5D573A1E" w14:textId="77777777" w:rsidTr="00A35BA4">
        <w:trPr>
          <w:trHeight w:val="614"/>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12882FB1"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w:t>
            </w:r>
          </w:p>
        </w:tc>
        <w:tc>
          <w:tcPr>
            <w:tcW w:w="1864" w:type="dxa"/>
            <w:tcBorders>
              <w:top w:val="nil"/>
              <w:left w:val="nil"/>
              <w:bottom w:val="single" w:sz="4" w:space="0" w:color="auto"/>
              <w:right w:val="single" w:sz="4" w:space="0" w:color="auto"/>
            </w:tcBorders>
            <w:shd w:val="clear" w:color="000000" w:fill="FFFFFF"/>
            <w:vAlign w:val="center"/>
            <w:hideMark/>
          </w:tcPr>
          <w:p w14:paraId="0D9A4A62" w14:textId="7F9CC6AA" w:rsidR="00A35BA4" w:rsidRPr="009B39EC" w:rsidRDefault="00A35BA4" w:rsidP="00C76105">
            <w:pPr>
              <w:spacing w:after="0" w:line="240" w:lineRule="auto"/>
              <w:jc w:val="center"/>
              <w:rPr>
                <w:rFonts w:ascii="Arial" w:hAnsi="Arial" w:cs="Arial"/>
                <w:color w:val="000000"/>
                <w:sz w:val="20"/>
                <w:szCs w:val="20"/>
              </w:rPr>
            </w:pPr>
            <w:proofErr w:type="spellStart"/>
            <w:r w:rsidRPr="009B39EC">
              <w:rPr>
                <w:rFonts w:ascii="Arial" w:hAnsi="Arial" w:cs="Arial"/>
                <w:color w:val="000000"/>
                <w:sz w:val="20"/>
                <w:szCs w:val="20"/>
              </w:rPr>
              <w:t>Development</w:t>
            </w:r>
            <w:proofErr w:type="spellEnd"/>
            <w:r w:rsidRPr="009B39EC">
              <w:rPr>
                <w:rFonts w:ascii="Arial" w:hAnsi="Arial" w:cs="Arial"/>
                <w:color w:val="000000"/>
                <w:sz w:val="20"/>
                <w:szCs w:val="20"/>
              </w:rPr>
              <w:t xml:space="preserve"> of </w:t>
            </w:r>
            <w:proofErr w:type="spellStart"/>
            <w:r w:rsidRPr="009B39EC">
              <w:rPr>
                <w:rFonts w:ascii="Arial" w:hAnsi="Arial" w:cs="Arial"/>
                <w:color w:val="000000"/>
                <w:sz w:val="20"/>
                <w:szCs w:val="20"/>
              </w:rPr>
              <w:t>gender</w:t>
            </w:r>
            <w:proofErr w:type="spellEnd"/>
            <w:r w:rsidRPr="009B39EC">
              <w:rPr>
                <w:rFonts w:ascii="Arial" w:hAnsi="Arial" w:cs="Arial"/>
                <w:color w:val="000000"/>
                <w:sz w:val="20"/>
                <w:szCs w:val="20"/>
              </w:rPr>
              <w:t xml:space="preserve"> sensitive </w:t>
            </w:r>
            <w:proofErr w:type="spellStart"/>
            <w:r w:rsidRPr="009B39EC">
              <w:rPr>
                <w:rFonts w:ascii="Arial" w:hAnsi="Arial" w:cs="Arial"/>
                <w:color w:val="000000"/>
                <w:sz w:val="20"/>
                <w:szCs w:val="20"/>
              </w:rPr>
              <w:t>indicators</w:t>
            </w:r>
            <w:proofErr w:type="spellEnd"/>
          </w:p>
        </w:tc>
        <w:tc>
          <w:tcPr>
            <w:tcW w:w="1781" w:type="dxa"/>
            <w:tcBorders>
              <w:top w:val="nil"/>
              <w:left w:val="nil"/>
              <w:bottom w:val="single" w:sz="4" w:space="0" w:color="auto"/>
              <w:right w:val="single" w:sz="4" w:space="0" w:color="auto"/>
            </w:tcBorders>
            <w:shd w:val="clear" w:color="000000" w:fill="FFFFFF"/>
            <w:vAlign w:val="center"/>
            <w:hideMark/>
          </w:tcPr>
          <w:p w14:paraId="7324441A" w14:textId="40F3A288"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5155839E"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12</w:t>
            </w:r>
          </w:p>
        </w:tc>
        <w:tc>
          <w:tcPr>
            <w:tcW w:w="1568" w:type="dxa"/>
            <w:tcBorders>
              <w:top w:val="nil"/>
              <w:left w:val="nil"/>
              <w:bottom w:val="single" w:sz="4" w:space="0" w:color="auto"/>
              <w:right w:val="single" w:sz="4" w:space="0" w:color="auto"/>
            </w:tcBorders>
            <w:shd w:val="clear" w:color="auto" w:fill="auto"/>
            <w:noWrap/>
            <w:vAlign w:val="center"/>
            <w:hideMark/>
          </w:tcPr>
          <w:p w14:paraId="58A72D12"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w:t>
            </w:r>
          </w:p>
        </w:tc>
        <w:tc>
          <w:tcPr>
            <w:tcW w:w="1568" w:type="dxa"/>
            <w:tcBorders>
              <w:top w:val="nil"/>
              <w:left w:val="nil"/>
              <w:bottom w:val="single" w:sz="4" w:space="0" w:color="auto"/>
              <w:right w:val="single" w:sz="4" w:space="0" w:color="auto"/>
            </w:tcBorders>
            <w:shd w:val="clear" w:color="auto" w:fill="auto"/>
            <w:noWrap/>
            <w:vAlign w:val="center"/>
            <w:hideMark/>
          </w:tcPr>
          <w:p w14:paraId="2079023A"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11</w:t>
            </w:r>
          </w:p>
        </w:tc>
      </w:tr>
      <w:tr w:rsidR="00A35BA4" w:rsidRPr="009B39EC" w14:paraId="06F89E2B" w14:textId="77777777" w:rsidTr="00A35BA4">
        <w:trPr>
          <w:trHeight w:val="614"/>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765D82F0"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2</w:t>
            </w:r>
          </w:p>
        </w:tc>
        <w:tc>
          <w:tcPr>
            <w:tcW w:w="1864" w:type="dxa"/>
            <w:tcBorders>
              <w:top w:val="nil"/>
              <w:left w:val="nil"/>
              <w:bottom w:val="single" w:sz="4" w:space="0" w:color="auto"/>
              <w:right w:val="single" w:sz="4" w:space="0" w:color="auto"/>
            </w:tcBorders>
            <w:shd w:val="clear" w:color="000000" w:fill="FFFFFF"/>
            <w:vAlign w:val="center"/>
            <w:hideMark/>
          </w:tcPr>
          <w:p w14:paraId="7C751C8E" w14:textId="129E4397" w:rsidR="00A35BA4" w:rsidRPr="009B39EC" w:rsidRDefault="00A35BA4" w:rsidP="00C76105">
            <w:pPr>
              <w:spacing w:after="0" w:line="240" w:lineRule="auto"/>
              <w:jc w:val="center"/>
              <w:rPr>
                <w:rFonts w:ascii="Arial" w:hAnsi="Arial" w:cs="Arial"/>
                <w:color w:val="000000"/>
                <w:sz w:val="20"/>
                <w:szCs w:val="20"/>
              </w:rPr>
            </w:pPr>
            <w:proofErr w:type="spellStart"/>
            <w:r w:rsidRPr="009B39EC">
              <w:rPr>
                <w:rFonts w:ascii="Arial" w:hAnsi="Arial" w:cs="Arial"/>
                <w:color w:val="000000"/>
                <w:sz w:val="20"/>
                <w:szCs w:val="20"/>
              </w:rPr>
              <w:t>Gender</w:t>
            </w:r>
            <w:proofErr w:type="spellEnd"/>
            <w:r w:rsidRPr="009B39EC">
              <w:rPr>
                <w:rFonts w:ascii="Arial" w:hAnsi="Arial" w:cs="Arial"/>
                <w:color w:val="000000"/>
                <w:sz w:val="20"/>
                <w:szCs w:val="20"/>
              </w:rPr>
              <w:t xml:space="preserve"> Responsive </w:t>
            </w:r>
            <w:proofErr w:type="spellStart"/>
            <w:r w:rsidRPr="009B39EC">
              <w:rPr>
                <w:rFonts w:ascii="Arial" w:hAnsi="Arial" w:cs="Arial"/>
                <w:color w:val="000000"/>
                <w:sz w:val="20"/>
                <w:szCs w:val="20"/>
              </w:rPr>
              <w:t>Budgeting</w:t>
            </w:r>
            <w:proofErr w:type="spellEnd"/>
            <w:r w:rsidRPr="009B39EC">
              <w:rPr>
                <w:rFonts w:ascii="Arial" w:hAnsi="Arial" w:cs="Arial"/>
                <w:color w:val="000000"/>
                <w:sz w:val="20"/>
                <w:szCs w:val="20"/>
              </w:rPr>
              <w:t xml:space="preserve"> at the local </w:t>
            </w:r>
            <w:proofErr w:type="spellStart"/>
            <w:r w:rsidRPr="009B39EC">
              <w:rPr>
                <w:rFonts w:ascii="Arial" w:hAnsi="Arial" w:cs="Arial"/>
                <w:color w:val="000000"/>
                <w:sz w:val="20"/>
                <w:szCs w:val="20"/>
              </w:rPr>
              <w:t>level</w:t>
            </w:r>
            <w:proofErr w:type="spellEnd"/>
          </w:p>
        </w:tc>
        <w:tc>
          <w:tcPr>
            <w:tcW w:w="1781" w:type="dxa"/>
            <w:tcBorders>
              <w:top w:val="nil"/>
              <w:left w:val="nil"/>
              <w:bottom w:val="single" w:sz="4" w:space="0" w:color="auto"/>
              <w:right w:val="single" w:sz="4" w:space="0" w:color="auto"/>
            </w:tcBorders>
            <w:shd w:val="clear" w:color="000000" w:fill="FFFFFF"/>
            <w:vAlign w:val="center"/>
            <w:hideMark/>
          </w:tcPr>
          <w:p w14:paraId="33D57F07" w14:textId="4C102487"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20770ABC"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82</w:t>
            </w:r>
          </w:p>
        </w:tc>
        <w:tc>
          <w:tcPr>
            <w:tcW w:w="1568" w:type="dxa"/>
            <w:tcBorders>
              <w:top w:val="nil"/>
              <w:left w:val="nil"/>
              <w:bottom w:val="single" w:sz="4" w:space="0" w:color="auto"/>
              <w:right w:val="single" w:sz="4" w:space="0" w:color="auto"/>
            </w:tcBorders>
            <w:shd w:val="clear" w:color="auto" w:fill="auto"/>
            <w:noWrap/>
            <w:vAlign w:val="center"/>
            <w:hideMark/>
          </w:tcPr>
          <w:p w14:paraId="11E383F3"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37</w:t>
            </w:r>
          </w:p>
        </w:tc>
        <w:tc>
          <w:tcPr>
            <w:tcW w:w="1568" w:type="dxa"/>
            <w:tcBorders>
              <w:top w:val="nil"/>
              <w:left w:val="nil"/>
              <w:bottom w:val="single" w:sz="4" w:space="0" w:color="auto"/>
              <w:right w:val="single" w:sz="4" w:space="0" w:color="auto"/>
            </w:tcBorders>
            <w:shd w:val="clear" w:color="auto" w:fill="auto"/>
            <w:noWrap/>
            <w:vAlign w:val="center"/>
            <w:hideMark/>
          </w:tcPr>
          <w:p w14:paraId="6049B6D9"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45</w:t>
            </w:r>
          </w:p>
        </w:tc>
      </w:tr>
      <w:tr w:rsidR="00A35BA4" w:rsidRPr="009B39EC" w14:paraId="0D2A6C25" w14:textId="77777777" w:rsidTr="00A35BA4">
        <w:trPr>
          <w:trHeight w:val="1537"/>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0AD88A5A"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3</w:t>
            </w:r>
          </w:p>
        </w:tc>
        <w:tc>
          <w:tcPr>
            <w:tcW w:w="1864" w:type="dxa"/>
            <w:tcBorders>
              <w:top w:val="nil"/>
              <w:left w:val="nil"/>
              <w:bottom w:val="single" w:sz="4" w:space="0" w:color="auto"/>
              <w:right w:val="single" w:sz="4" w:space="0" w:color="auto"/>
            </w:tcBorders>
            <w:shd w:val="clear" w:color="000000" w:fill="FFFFFF"/>
            <w:vAlign w:val="center"/>
            <w:hideMark/>
          </w:tcPr>
          <w:p w14:paraId="3040510C" w14:textId="32DADE06" w:rsidR="00A35BA4" w:rsidRPr="009B39EC" w:rsidRDefault="00A35BA4" w:rsidP="00C76105">
            <w:pPr>
              <w:spacing w:after="0" w:line="240" w:lineRule="auto"/>
              <w:jc w:val="center"/>
              <w:rPr>
                <w:rFonts w:ascii="Arial" w:hAnsi="Arial" w:cs="Arial"/>
                <w:color w:val="212121"/>
                <w:sz w:val="20"/>
                <w:szCs w:val="20"/>
              </w:rPr>
            </w:pPr>
            <w:r w:rsidRPr="009B39EC">
              <w:rPr>
                <w:rFonts w:ascii="Arial" w:hAnsi="Arial" w:cs="Arial"/>
                <w:color w:val="212121"/>
                <w:sz w:val="20"/>
                <w:szCs w:val="20"/>
              </w:rPr>
              <w:t xml:space="preserve">Revenue </w:t>
            </w:r>
            <w:proofErr w:type="spellStart"/>
            <w:r w:rsidRPr="009B39EC">
              <w:rPr>
                <w:rFonts w:ascii="Arial" w:hAnsi="Arial" w:cs="Arial"/>
                <w:color w:val="212121"/>
                <w:sz w:val="20"/>
                <w:szCs w:val="20"/>
              </w:rPr>
              <w:t>forecasting</w:t>
            </w:r>
            <w:proofErr w:type="spellEnd"/>
            <w:r w:rsidRPr="009B39EC">
              <w:rPr>
                <w:rFonts w:ascii="Arial" w:hAnsi="Arial" w:cs="Arial"/>
                <w:color w:val="212121"/>
                <w:sz w:val="20"/>
                <w:szCs w:val="20"/>
              </w:rPr>
              <w:t xml:space="preserve"> and </w:t>
            </w:r>
            <w:proofErr w:type="spellStart"/>
            <w:r w:rsidRPr="009B39EC">
              <w:rPr>
                <w:rFonts w:ascii="Arial" w:hAnsi="Arial" w:cs="Arial"/>
                <w:color w:val="212121"/>
                <w:sz w:val="20"/>
                <w:szCs w:val="20"/>
              </w:rPr>
              <w:t>expenditure</w:t>
            </w:r>
            <w:proofErr w:type="spellEnd"/>
            <w:r w:rsidRPr="009B39EC">
              <w:rPr>
                <w:rFonts w:ascii="Arial" w:hAnsi="Arial" w:cs="Arial"/>
                <w:color w:val="212121"/>
                <w:sz w:val="20"/>
                <w:szCs w:val="20"/>
              </w:rPr>
              <w:t xml:space="preserve"> </w:t>
            </w:r>
            <w:proofErr w:type="spellStart"/>
            <w:r w:rsidRPr="009B39EC">
              <w:rPr>
                <w:rFonts w:ascii="Arial" w:hAnsi="Arial" w:cs="Arial"/>
                <w:color w:val="212121"/>
                <w:sz w:val="20"/>
                <w:szCs w:val="20"/>
              </w:rPr>
              <w:t>tracking</w:t>
            </w:r>
            <w:proofErr w:type="spellEnd"/>
            <w:r w:rsidRPr="009B39EC">
              <w:rPr>
                <w:rFonts w:ascii="Arial" w:hAnsi="Arial" w:cs="Arial"/>
                <w:color w:val="212121"/>
                <w:sz w:val="20"/>
                <w:szCs w:val="20"/>
              </w:rPr>
              <w:t xml:space="preserve"> </w:t>
            </w:r>
            <w:proofErr w:type="spellStart"/>
            <w:r w:rsidRPr="009B39EC">
              <w:rPr>
                <w:rFonts w:ascii="Arial" w:hAnsi="Arial" w:cs="Arial"/>
                <w:color w:val="212121"/>
                <w:sz w:val="20"/>
                <w:szCs w:val="20"/>
              </w:rPr>
              <w:t>under</w:t>
            </w:r>
            <w:proofErr w:type="spellEnd"/>
            <w:r w:rsidRPr="009B39EC">
              <w:rPr>
                <w:rFonts w:ascii="Arial" w:hAnsi="Arial" w:cs="Arial"/>
                <w:color w:val="212121"/>
                <w:sz w:val="20"/>
                <w:szCs w:val="20"/>
              </w:rPr>
              <w:t xml:space="preserve"> </w:t>
            </w:r>
            <w:proofErr w:type="spellStart"/>
            <w:r w:rsidRPr="009B39EC">
              <w:rPr>
                <w:rFonts w:ascii="Arial" w:hAnsi="Arial" w:cs="Arial"/>
                <w:color w:val="212121"/>
                <w:sz w:val="20"/>
                <w:szCs w:val="20"/>
              </w:rPr>
              <w:t>gender</w:t>
            </w:r>
            <w:proofErr w:type="spellEnd"/>
            <w:r w:rsidRPr="009B39EC">
              <w:rPr>
                <w:rFonts w:ascii="Arial" w:hAnsi="Arial" w:cs="Arial"/>
                <w:color w:val="212121"/>
                <w:sz w:val="20"/>
                <w:szCs w:val="20"/>
              </w:rPr>
              <w:t xml:space="preserve"> </w:t>
            </w:r>
            <w:proofErr w:type="spellStart"/>
            <w:r w:rsidRPr="009B39EC">
              <w:rPr>
                <w:rFonts w:ascii="Arial" w:hAnsi="Arial" w:cs="Arial"/>
                <w:color w:val="212121"/>
                <w:sz w:val="20"/>
                <w:szCs w:val="20"/>
              </w:rPr>
              <w:t>approach</w:t>
            </w:r>
            <w:proofErr w:type="spellEnd"/>
          </w:p>
        </w:tc>
        <w:tc>
          <w:tcPr>
            <w:tcW w:w="1781" w:type="dxa"/>
            <w:tcBorders>
              <w:top w:val="nil"/>
              <w:left w:val="nil"/>
              <w:bottom w:val="single" w:sz="4" w:space="0" w:color="auto"/>
              <w:right w:val="single" w:sz="4" w:space="0" w:color="auto"/>
            </w:tcBorders>
            <w:shd w:val="clear" w:color="000000" w:fill="FFFFFF"/>
            <w:vAlign w:val="center"/>
            <w:hideMark/>
          </w:tcPr>
          <w:p w14:paraId="2E721599" w14:textId="77777777" w:rsidR="00A35BA4" w:rsidRPr="009B39EC" w:rsidRDefault="00A35BA4" w:rsidP="00C76105">
            <w:pPr>
              <w:spacing w:after="0" w:line="240" w:lineRule="auto"/>
              <w:jc w:val="center"/>
              <w:rPr>
                <w:rFonts w:ascii="Arial" w:hAnsi="Arial" w:cs="Arial"/>
                <w:color w:val="000000"/>
                <w:sz w:val="20"/>
                <w:szCs w:val="20"/>
              </w:rPr>
            </w:pPr>
            <w:proofErr w:type="spellStart"/>
            <w:r w:rsidRPr="009B39EC">
              <w:rPr>
                <w:rFonts w:ascii="Arial" w:hAnsi="Arial" w:cs="Arial"/>
                <w:color w:val="000000"/>
                <w:sz w:val="20"/>
                <w:szCs w:val="20"/>
              </w:rPr>
              <w:t>Financat</w:t>
            </w:r>
            <w:proofErr w:type="spellEnd"/>
            <w:r w:rsidRPr="009B39EC">
              <w:rPr>
                <w:rFonts w:ascii="Arial" w:hAnsi="Arial" w:cs="Arial"/>
                <w:color w:val="000000"/>
                <w:sz w:val="20"/>
                <w:szCs w:val="20"/>
              </w:rPr>
              <w:t xml:space="preserve"> e </w:t>
            </w:r>
            <w:proofErr w:type="spellStart"/>
            <w:r w:rsidRPr="009B39EC">
              <w:rPr>
                <w:rFonts w:ascii="Arial" w:hAnsi="Arial" w:cs="Arial"/>
                <w:color w:val="000000"/>
                <w:sz w:val="20"/>
                <w:szCs w:val="20"/>
              </w:rPr>
              <w:t>vetëqeverisjes</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vendore</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dhe</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buxhetimi</w:t>
            </w:r>
            <w:proofErr w:type="spellEnd"/>
            <w:r w:rsidRPr="009B39EC">
              <w:rPr>
                <w:rFonts w:ascii="Arial" w:hAnsi="Arial" w:cs="Arial"/>
                <w:color w:val="000000"/>
                <w:sz w:val="20"/>
                <w:szCs w:val="20"/>
              </w:rPr>
              <w:t xml:space="preserve"> i </w:t>
            </w:r>
            <w:proofErr w:type="spellStart"/>
            <w:r w:rsidRPr="009B39EC">
              <w:rPr>
                <w:rFonts w:ascii="Arial" w:hAnsi="Arial" w:cs="Arial"/>
                <w:color w:val="000000"/>
                <w:sz w:val="20"/>
                <w:szCs w:val="20"/>
              </w:rPr>
              <w:t>përgjigjshëm</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gjinor</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në</w:t>
            </w:r>
            <w:proofErr w:type="spellEnd"/>
            <w:r w:rsidRPr="009B39EC">
              <w:rPr>
                <w:rFonts w:ascii="Arial" w:hAnsi="Arial" w:cs="Arial"/>
                <w:color w:val="000000"/>
                <w:sz w:val="20"/>
                <w:szCs w:val="20"/>
              </w:rPr>
              <w:t xml:space="preserve"> PBA</w:t>
            </w:r>
          </w:p>
        </w:tc>
        <w:tc>
          <w:tcPr>
            <w:tcW w:w="1894" w:type="dxa"/>
            <w:tcBorders>
              <w:top w:val="nil"/>
              <w:left w:val="nil"/>
              <w:bottom w:val="single" w:sz="4" w:space="0" w:color="auto"/>
              <w:right w:val="single" w:sz="4" w:space="0" w:color="auto"/>
            </w:tcBorders>
            <w:shd w:val="clear" w:color="auto" w:fill="auto"/>
            <w:noWrap/>
            <w:vAlign w:val="center"/>
            <w:hideMark/>
          </w:tcPr>
          <w:p w14:paraId="69B3590F"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123</w:t>
            </w:r>
          </w:p>
        </w:tc>
        <w:tc>
          <w:tcPr>
            <w:tcW w:w="1568" w:type="dxa"/>
            <w:tcBorders>
              <w:top w:val="nil"/>
              <w:left w:val="nil"/>
              <w:bottom w:val="single" w:sz="4" w:space="0" w:color="auto"/>
              <w:right w:val="single" w:sz="4" w:space="0" w:color="auto"/>
            </w:tcBorders>
            <w:shd w:val="clear" w:color="auto" w:fill="auto"/>
            <w:noWrap/>
            <w:vAlign w:val="center"/>
            <w:hideMark/>
          </w:tcPr>
          <w:p w14:paraId="206C836C"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90</w:t>
            </w:r>
          </w:p>
        </w:tc>
        <w:tc>
          <w:tcPr>
            <w:tcW w:w="1568" w:type="dxa"/>
            <w:tcBorders>
              <w:top w:val="nil"/>
              <w:left w:val="nil"/>
              <w:bottom w:val="single" w:sz="4" w:space="0" w:color="auto"/>
              <w:right w:val="single" w:sz="4" w:space="0" w:color="auto"/>
            </w:tcBorders>
            <w:shd w:val="clear" w:color="auto" w:fill="auto"/>
            <w:noWrap/>
            <w:vAlign w:val="center"/>
            <w:hideMark/>
          </w:tcPr>
          <w:p w14:paraId="7DFA7A15"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33</w:t>
            </w:r>
          </w:p>
        </w:tc>
      </w:tr>
      <w:tr w:rsidR="00A35BA4" w:rsidRPr="009B39EC" w14:paraId="4E6E1D07" w14:textId="77777777" w:rsidTr="00A35BA4">
        <w:trPr>
          <w:trHeight w:val="922"/>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2F838C4D"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4</w:t>
            </w:r>
          </w:p>
        </w:tc>
        <w:tc>
          <w:tcPr>
            <w:tcW w:w="1864" w:type="dxa"/>
            <w:tcBorders>
              <w:top w:val="nil"/>
              <w:left w:val="nil"/>
              <w:bottom w:val="single" w:sz="4" w:space="0" w:color="auto"/>
              <w:right w:val="single" w:sz="4" w:space="0" w:color="auto"/>
            </w:tcBorders>
            <w:shd w:val="clear" w:color="000000" w:fill="FFFFFF"/>
            <w:vAlign w:val="center"/>
            <w:hideMark/>
          </w:tcPr>
          <w:p w14:paraId="64AA3D0A" w14:textId="5FC13336"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 xml:space="preserve">Innovations of the Electoral Code in the </w:t>
            </w:r>
            <w:proofErr w:type="spellStart"/>
            <w:r w:rsidRPr="009B39EC">
              <w:rPr>
                <w:rFonts w:ascii="Arial" w:hAnsi="Arial" w:cs="Arial"/>
                <w:color w:val="000000"/>
                <w:sz w:val="20"/>
                <w:szCs w:val="20"/>
              </w:rPr>
              <w:t>field</w:t>
            </w:r>
            <w:proofErr w:type="spellEnd"/>
            <w:r w:rsidRPr="009B39EC">
              <w:rPr>
                <w:rFonts w:ascii="Arial" w:hAnsi="Arial" w:cs="Arial"/>
                <w:color w:val="000000"/>
                <w:sz w:val="20"/>
                <w:szCs w:val="20"/>
              </w:rPr>
              <w:t xml:space="preserve"> of </w:t>
            </w:r>
            <w:proofErr w:type="spellStart"/>
            <w:r w:rsidRPr="009B39EC">
              <w:rPr>
                <w:rFonts w:ascii="Arial" w:hAnsi="Arial" w:cs="Arial"/>
                <w:color w:val="000000"/>
                <w:sz w:val="20"/>
                <w:szCs w:val="20"/>
              </w:rPr>
              <w:t>gender</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equality</w:t>
            </w:r>
            <w:proofErr w:type="spellEnd"/>
          </w:p>
        </w:tc>
        <w:tc>
          <w:tcPr>
            <w:tcW w:w="1781" w:type="dxa"/>
            <w:tcBorders>
              <w:top w:val="nil"/>
              <w:left w:val="nil"/>
              <w:bottom w:val="single" w:sz="4" w:space="0" w:color="auto"/>
              <w:right w:val="single" w:sz="4" w:space="0" w:color="auto"/>
            </w:tcBorders>
            <w:shd w:val="clear" w:color="000000" w:fill="FFFFFF"/>
            <w:vAlign w:val="center"/>
            <w:hideMark/>
          </w:tcPr>
          <w:p w14:paraId="71F48504" w14:textId="7BE5465E"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4C9FE93B"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43</w:t>
            </w:r>
          </w:p>
        </w:tc>
        <w:tc>
          <w:tcPr>
            <w:tcW w:w="1568" w:type="dxa"/>
            <w:tcBorders>
              <w:top w:val="nil"/>
              <w:left w:val="nil"/>
              <w:bottom w:val="single" w:sz="4" w:space="0" w:color="auto"/>
              <w:right w:val="single" w:sz="4" w:space="0" w:color="auto"/>
            </w:tcBorders>
            <w:shd w:val="clear" w:color="auto" w:fill="auto"/>
            <w:noWrap/>
            <w:vAlign w:val="center"/>
            <w:hideMark/>
          </w:tcPr>
          <w:p w14:paraId="2DC36329"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8</w:t>
            </w:r>
          </w:p>
        </w:tc>
        <w:tc>
          <w:tcPr>
            <w:tcW w:w="1568" w:type="dxa"/>
            <w:tcBorders>
              <w:top w:val="nil"/>
              <w:left w:val="nil"/>
              <w:bottom w:val="single" w:sz="4" w:space="0" w:color="auto"/>
              <w:right w:val="single" w:sz="4" w:space="0" w:color="auto"/>
            </w:tcBorders>
            <w:shd w:val="clear" w:color="auto" w:fill="auto"/>
            <w:noWrap/>
            <w:vAlign w:val="center"/>
            <w:hideMark/>
          </w:tcPr>
          <w:p w14:paraId="3BBFF6DC"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35</w:t>
            </w:r>
          </w:p>
        </w:tc>
      </w:tr>
      <w:tr w:rsidR="00A35BA4" w:rsidRPr="009B39EC" w14:paraId="1F893DFF" w14:textId="77777777" w:rsidTr="00A35BA4">
        <w:trPr>
          <w:trHeight w:val="1229"/>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715C7DD7"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5</w:t>
            </w:r>
          </w:p>
        </w:tc>
        <w:tc>
          <w:tcPr>
            <w:tcW w:w="1864" w:type="dxa"/>
            <w:tcBorders>
              <w:top w:val="nil"/>
              <w:left w:val="nil"/>
              <w:bottom w:val="single" w:sz="4" w:space="0" w:color="auto"/>
              <w:right w:val="single" w:sz="4" w:space="0" w:color="auto"/>
            </w:tcBorders>
            <w:shd w:val="clear" w:color="000000" w:fill="FFFFFF"/>
            <w:vAlign w:val="center"/>
            <w:hideMark/>
          </w:tcPr>
          <w:p w14:paraId="04549B51" w14:textId="4FA46449"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 xml:space="preserve">Use of the </w:t>
            </w:r>
            <w:proofErr w:type="spellStart"/>
            <w:r w:rsidRPr="009B39EC">
              <w:rPr>
                <w:rFonts w:ascii="Arial" w:hAnsi="Arial" w:cs="Arial"/>
                <w:color w:val="000000"/>
                <w:sz w:val="20"/>
                <w:szCs w:val="20"/>
              </w:rPr>
              <w:t>European</w:t>
            </w:r>
            <w:proofErr w:type="spellEnd"/>
            <w:r w:rsidRPr="009B39EC">
              <w:rPr>
                <w:rFonts w:ascii="Arial" w:hAnsi="Arial" w:cs="Arial"/>
                <w:color w:val="000000"/>
                <w:sz w:val="20"/>
                <w:szCs w:val="20"/>
              </w:rPr>
              <w:t xml:space="preserve"> Court of Human </w:t>
            </w:r>
            <w:proofErr w:type="spellStart"/>
            <w:r w:rsidRPr="009B39EC">
              <w:rPr>
                <w:rFonts w:ascii="Arial" w:hAnsi="Arial" w:cs="Arial"/>
                <w:color w:val="000000"/>
                <w:sz w:val="20"/>
                <w:szCs w:val="20"/>
              </w:rPr>
              <w:t>Rights</w:t>
            </w:r>
            <w:proofErr w:type="spellEnd"/>
            <w:r w:rsidRPr="009B39EC">
              <w:rPr>
                <w:rFonts w:ascii="Arial" w:hAnsi="Arial" w:cs="Arial"/>
                <w:color w:val="000000"/>
                <w:sz w:val="20"/>
                <w:szCs w:val="20"/>
              </w:rPr>
              <w:t xml:space="preserve"> by public servants</w:t>
            </w:r>
          </w:p>
        </w:tc>
        <w:tc>
          <w:tcPr>
            <w:tcW w:w="1781" w:type="dxa"/>
            <w:tcBorders>
              <w:top w:val="nil"/>
              <w:left w:val="nil"/>
              <w:bottom w:val="single" w:sz="4" w:space="0" w:color="auto"/>
              <w:right w:val="single" w:sz="4" w:space="0" w:color="auto"/>
            </w:tcBorders>
            <w:shd w:val="clear" w:color="000000" w:fill="FFFFFF"/>
            <w:vAlign w:val="center"/>
            <w:hideMark/>
          </w:tcPr>
          <w:p w14:paraId="3CD72FCB" w14:textId="78E8B4CF"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26514F85"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56</w:t>
            </w:r>
          </w:p>
        </w:tc>
        <w:tc>
          <w:tcPr>
            <w:tcW w:w="1568" w:type="dxa"/>
            <w:tcBorders>
              <w:top w:val="nil"/>
              <w:left w:val="nil"/>
              <w:bottom w:val="single" w:sz="4" w:space="0" w:color="auto"/>
              <w:right w:val="single" w:sz="4" w:space="0" w:color="auto"/>
            </w:tcBorders>
            <w:shd w:val="clear" w:color="auto" w:fill="auto"/>
            <w:noWrap/>
            <w:vAlign w:val="center"/>
            <w:hideMark/>
          </w:tcPr>
          <w:p w14:paraId="186473D1"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13</w:t>
            </w:r>
          </w:p>
        </w:tc>
        <w:tc>
          <w:tcPr>
            <w:tcW w:w="1568" w:type="dxa"/>
            <w:tcBorders>
              <w:top w:val="nil"/>
              <w:left w:val="nil"/>
              <w:bottom w:val="single" w:sz="4" w:space="0" w:color="auto"/>
              <w:right w:val="single" w:sz="4" w:space="0" w:color="auto"/>
            </w:tcBorders>
            <w:shd w:val="clear" w:color="auto" w:fill="auto"/>
            <w:noWrap/>
            <w:vAlign w:val="center"/>
            <w:hideMark/>
          </w:tcPr>
          <w:p w14:paraId="60BBCBE0"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43</w:t>
            </w:r>
          </w:p>
        </w:tc>
      </w:tr>
      <w:tr w:rsidR="00A35BA4" w:rsidRPr="009B39EC" w14:paraId="1D85A7DC" w14:textId="77777777" w:rsidTr="00A35BA4">
        <w:trPr>
          <w:trHeight w:val="922"/>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6F1C2F82"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6</w:t>
            </w:r>
          </w:p>
        </w:tc>
        <w:tc>
          <w:tcPr>
            <w:tcW w:w="1864" w:type="dxa"/>
            <w:tcBorders>
              <w:top w:val="nil"/>
              <w:left w:val="nil"/>
              <w:bottom w:val="single" w:sz="4" w:space="0" w:color="auto"/>
              <w:right w:val="single" w:sz="4" w:space="0" w:color="auto"/>
            </w:tcBorders>
            <w:shd w:val="clear" w:color="000000" w:fill="FFFFFF"/>
            <w:vAlign w:val="center"/>
            <w:hideMark/>
          </w:tcPr>
          <w:p w14:paraId="27578032" w14:textId="20EB597F"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 xml:space="preserve">Use of state </w:t>
            </w:r>
            <w:proofErr w:type="spellStart"/>
            <w:r w:rsidRPr="009B39EC">
              <w:rPr>
                <w:rFonts w:ascii="Arial" w:hAnsi="Arial" w:cs="Arial"/>
                <w:color w:val="000000"/>
                <w:sz w:val="20"/>
                <w:szCs w:val="20"/>
              </w:rPr>
              <w:t>resources</w:t>
            </w:r>
            <w:proofErr w:type="spellEnd"/>
            <w:r w:rsidRPr="009B39EC">
              <w:rPr>
                <w:rFonts w:ascii="Arial" w:hAnsi="Arial" w:cs="Arial"/>
                <w:color w:val="000000"/>
                <w:sz w:val="20"/>
                <w:szCs w:val="20"/>
              </w:rPr>
              <w:t xml:space="preserve"> in the </w:t>
            </w:r>
            <w:proofErr w:type="spellStart"/>
            <w:r w:rsidRPr="009B39EC">
              <w:rPr>
                <w:rFonts w:ascii="Arial" w:hAnsi="Arial" w:cs="Arial"/>
                <w:color w:val="000000"/>
                <w:sz w:val="20"/>
                <w:szCs w:val="20"/>
              </w:rPr>
              <w:t>election</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campaign</w:t>
            </w:r>
            <w:proofErr w:type="spellEnd"/>
          </w:p>
        </w:tc>
        <w:tc>
          <w:tcPr>
            <w:tcW w:w="1781" w:type="dxa"/>
            <w:tcBorders>
              <w:top w:val="nil"/>
              <w:left w:val="nil"/>
              <w:bottom w:val="single" w:sz="4" w:space="0" w:color="auto"/>
              <w:right w:val="single" w:sz="4" w:space="0" w:color="auto"/>
            </w:tcBorders>
            <w:shd w:val="clear" w:color="000000" w:fill="FFFFFF"/>
            <w:vAlign w:val="center"/>
            <w:hideMark/>
          </w:tcPr>
          <w:p w14:paraId="62DDBC47" w14:textId="5B091CD3"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6F8CDFE2"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33</w:t>
            </w:r>
          </w:p>
        </w:tc>
        <w:tc>
          <w:tcPr>
            <w:tcW w:w="1568" w:type="dxa"/>
            <w:tcBorders>
              <w:top w:val="nil"/>
              <w:left w:val="nil"/>
              <w:bottom w:val="single" w:sz="4" w:space="0" w:color="auto"/>
              <w:right w:val="single" w:sz="4" w:space="0" w:color="auto"/>
            </w:tcBorders>
            <w:shd w:val="clear" w:color="auto" w:fill="auto"/>
            <w:noWrap/>
            <w:vAlign w:val="center"/>
            <w:hideMark/>
          </w:tcPr>
          <w:p w14:paraId="0A75D71E"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15</w:t>
            </w:r>
          </w:p>
        </w:tc>
        <w:tc>
          <w:tcPr>
            <w:tcW w:w="1568" w:type="dxa"/>
            <w:tcBorders>
              <w:top w:val="nil"/>
              <w:left w:val="nil"/>
              <w:bottom w:val="single" w:sz="4" w:space="0" w:color="auto"/>
              <w:right w:val="single" w:sz="4" w:space="0" w:color="auto"/>
            </w:tcBorders>
            <w:shd w:val="clear" w:color="auto" w:fill="auto"/>
            <w:noWrap/>
            <w:vAlign w:val="center"/>
            <w:hideMark/>
          </w:tcPr>
          <w:p w14:paraId="65CA50AB"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18</w:t>
            </w:r>
          </w:p>
        </w:tc>
      </w:tr>
      <w:tr w:rsidR="00A35BA4" w:rsidRPr="009B39EC" w14:paraId="59E5ECE7" w14:textId="77777777" w:rsidTr="00A35BA4">
        <w:trPr>
          <w:trHeight w:val="922"/>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2B856071"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7</w:t>
            </w:r>
          </w:p>
        </w:tc>
        <w:tc>
          <w:tcPr>
            <w:tcW w:w="1864" w:type="dxa"/>
            <w:tcBorders>
              <w:top w:val="nil"/>
              <w:left w:val="nil"/>
              <w:bottom w:val="single" w:sz="4" w:space="0" w:color="auto"/>
              <w:right w:val="single" w:sz="4" w:space="0" w:color="auto"/>
            </w:tcBorders>
            <w:shd w:val="clear" w:color="000000" w:fill="FFFFFF"/>
            <w:vAlign w:val="center"/>
            <w:hideMark/>
          </w:tcPr>
          <w:p w14:paraId="36D18766" w14:textId="7FDBE63B"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 xml:space="preserve">The </w:t>
            </w:r>
            <w:proofErr w:type="spellStart"/>
            <w:r w:rsidRPr="009B39EC">
              <w:rPr>
                <w:rFonts w:ascii="Arial" w:hAnsi="Arial" w:cs="Arial"/>
                <w:color w:val="000000"/>
                <w:sz w:val="20"/>
                <w:szCs w:val="20"/>
              </w:rPr>
              <w:t>burden</w:t>
            </w:r>
            <w:proofErr w:type="spellEnd"/>
            <w:r w:rsidRPr="009B39EC">
              <w:rPr>
                <w:rFonts w:ascii="Arial" w:hAnsi="Arial" w:cs="Arial"/>
                <w:color w:val="000000"/>
                <w:sz w:val="20"/>
                <w:szCs w:val="20"/>
              </w:rPr>
              <w:t xml:space="preserve"> of proof in cases of discrimination in public administration</w:t>
            </w:r>
          </w:p>
        </w:tc>
        <w:tc>
          <w:tcPr>
            <w:tcW w:w="1781" w:type="dxa"/>
            <w:tcBorders>
              <w:top w:val="nil"/>
              <w:left w:val="nil"/>
              <w:bottom w:val="single" w:sz="4" w:space="0" w:color="auto"/>
              <w:right w:val="single" w:sz="4" w:space="0" w:color="auto"/>
            </w:tcBorders>
            <w:shd w:val="clear" w:color="000000" w:fill="FFFFFF"/>
            <w:vAlign w:val="center"/>
            <w:hideMark/>
          </w:tcPr>
          <w:p w14:paraId="1F441E50" w14:textId="0D089A2E"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134B96C4"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104</w:t>
            </w:r>
          </w:p>
        </w:tc>
        <w:tc>
          <w:tcPr>
            <w:tcW w:w="1568" w:type="dxa"/>
            <w:tcBorders>
              <w:top w:val="nil"/>
              <w:left w:val="nil"/>
              <w:bottom w:val="single" w:sz="4" w:space="0" w:color="auto"/>
              <w:right w:val="single" w:sz="4" w:space="0" w:color="auto"/>
            </w:tcBorders>
            <w:shd w:val="clear" w:color="auto" w:fill="auto"/>
            <w:noWrap/>
            <w:vAlign w:val="center"/>
            <w:hideMark/>
          </w:tcPr>
          <w:p w14:paraId="55E39D6A"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21</w:t>
            </w:r>
          </w:p>
        </w:tc>
        <w:tc>
          <w:tcPr>
            <w:tcW w:w="1568" w:type="dxa"/>
            <w:tcBorders>
              <w:top w:val="nil"/>
              <w:left w:val="nil"/>
              <w:bottom w:val="single" w:sz="4" w:space="0" w:color="auto"/>
              <w:right w:val="single" w:sz="4" w:space="0" w:color="auto"/>
            </w:tcBorders>
            <w:shd w:val="clear" w:color="auto" w:fill="auto"/>
            <w:noWrap/>
            <w:vAlign w:val="center"/>
            <w:hideMark/>
          </w:tcPr>
          <w:p w14:paraId="181ADEE6"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83</w:t>
            </w:r>
          </w:p>
        </w:tc>
      </w:tr>
      <w:tr w:rsidR="00A35BA4" w:rsidRPr="009B39EC" w14:paraId="04132977" w14:textId="77777777" w:rsidTr="00A35BA4">
        <w:trPr>
          <w:trHeight w:val="614"/>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64BE4178"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8</w:t>
            </w:r>
          </w:p>
        </w:tc>
        <w:tc>
          <w:tcPr>
            <w:tcW w:w="1864" w:type="dxa"/>
            <w:tcBorders>
              <w:top w:val="nil"/>
              <w:left w:val="nil"/>
              <w:bottom w:val="single" w:sz="4" w:space="0" w:color="auto"/>
              <w:right w:val="single" w:sz="4" w:space="0" w:color="auto"/>
            </w:tcBorders>
            <w:shd w:val="clear" w:color="000000" w:fill="FFFFFF"/>
            <w:vAlign w:val="center"/>
            <w:hideMark/>
          </w:tcPr>
          <w:p w14:paraId="71E2737B" w14:textId="004EB70B"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The notion of discrimination in public administration</w:t>
            </w:r>
          </w:p>
        </w:tc>
        <w:tc>
          <w:tcPr>
            <w:tcW w:w="1781" w:type="dxa"/>
            <w:tcBorders>
              <w:top w:val="nil"/>
              <w:left w:val="nil"/>
              <w:bottom w:val="single" w:sz="4" w:space="0" w:color="auto"/>
              <w:right w:val="single" w:sz="4" w:space="0" w:color="auto"/>
            </w:tcBorders>
            <w:shd w:val="clear" w:color="000000" w:fill="FFFFFF"/>
            <w:vAlign w:val="center"/>
            <w:hideMark/>
          </w:tcPr>
          <w:p w14:paraId="17751C30" w14:textId="12B74DF0"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02C72380"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51</w:t>
            </w:r>
          </w:p>
        </w:tc>
        <w:tc>
          <w:tcPr>
            <w:tcW w:w="1568" w:type="dxa"/>
            <w:tcBorders>
              <w:top w:val="nil"/>
              <w:left w:val="nil"/>
              <w:bottom w:val="single" w:sz="4" w:space="0" w:color="auto"/>
              <w:right w:val="single" w:sz="4" w:space="0" w:color="auto"/>
            </w:tcBorders>
            <w:shd w:val="clear" w:color="auto" w:fill="auto"/>
            <w:noWrap/>
            <w:vAlign w:val="center"/>
            <w:hideMark/>
          </w:tcPr>
          <w:p w14:paraId="2CA9929C"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11</w:t>
            </w:r>
          </w:p>
        </w:tc>
        <w:tc>
          <w:tcPr>
            <w:tcW w:w="1568" w:type="dxa"/>
            <w:tcBorders>
              <w:top w:val="nil"/>
              <w:left w:val="nil"/>
              <w:bottom w:val="single" w:sz="4" w:space="0" w:color="auto"/>
              <w:right w:val="single" w:sz="4" w:space="0" w:color="auto"/>
            </w:tcBorders>
            <w:shd w:val="clear" w:color="auto" w:fill="auto"/>
            <w:noWrap/>
            <w:vAlign w:val="center"/>
            <w:hideMark/>
          </w:tcPr>
          <w:p w14:paraId="006A2B7E"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40</w:t>
            </w:r>
          </w:p>
        </w:tc>
      </w:tr>
      <w:tr w:rsidR="00A35BA4" w:rsidRPr="009B39EC" w14:paraId="514FC65B" w14:textId="77777777" w:rsidTr="00A35BA4">
        <w:trPr>
          <w:trHeight w:val="922"/>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6E2A5F8B"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9</w:t>
            </w:r>
          </w:p>
        </w:tc>
        <w:tc>
          <w:tcPr>
            <w:tcW w:w="1864" w:type="dxa"/>
            <w:tcBorders>
              <w:top w:val="nil"/>
              <w:left w:val="nil"/>
              <w:bottom w:val="single" w:sz="4" w:space="0" w:color="auto"/>
              <w:right w:val="single" w:sz="4" w:space="0" w:color="auto"/>
            </w:tcBorders>
            <w:shd w:val="clear" w:color="000000" w:fill="FFFFFF"/>
            <w:vAlign w:val="center"/>
            <w:hideMark/>
          </w:tcPr>
          <w:p w14:paraId="6AA04E5D" w14:textId="1CEEDA98" w:rsidR="00A35BA4" w:rsidRPr="009B39EC" w:rsidRDefault="00A35BA4" w:rsidP="00C76105">
            <w:pPr>
              <w:spacing w:after="0" w:line="240" w:lineRule="auto"/>
              <w:jc w:val="center"/>
              <w:rPr>
                <w:rFonts w:ascii="Arial" w:hAnsi="Arial" w:cs="Arial"/>
                <w:color w:val="000000"/>
                <w:sz w:val="20"/>
                <w:szCs w:val="20"/>
              </w:rPr>
            </w:pPr>
            <w:proofErr w:type="spellStart"/>
            <w:r w:rsidRPr="009B39EC">
              <w:rPr>
                <w:rFonts w:ascii="Arial" w:hAnsi="Arial" w:cs="Arial"/>
                <w:color w:val="000000"/>
                <w:sz w:val="20"/>
                <w:szCs w:val="20"/>
              </w:rPr>
              <w:t>Procedures</w:t>
            </w:r>
            <w:proofErr w:type="spellEnd"/>
            <w:r w:rsidRPr="009B39EC">
              <w:rPr>
                <w:rFonts w:ascii="Arial" w:hAnsi="Arial" w:cs="Arial"/>
                <w:color w:val="000000"/>
                <w:sz w:val="20"/>
                <w:szCs w:val="20"/>
              </w:rPr>
              <w:t xml:space="preserve"> for </w:t>
            </w:r>
            <w:proofErr w:type="spellStart"/>
            <w:r w:rsidRPr="009B39EC">
              <w:rPr>
                <w:rFonts w:ascii="Arial" w:hAnsi="Arial" w:cs="Arial"/>
                <w:color w:val="000000"/>
                <w:sz w:val="20"/>
                <w:szCs w:val="20"/>
              </w:rPr>
              <w:t>prosecuting</w:t>
            </w:r>
            <w:proofErr w:type="spellEnd"/>
            <w:r w:rsidRPr="009B39EC">
              <w:rPr>
                <w:rFonts w:ascii="Arial" w:hAnsi="Arial" w:cs="Arial"/>
                <w:color w:val="000000"/>
                <w:sz w:val="20"/>
                <w:szCs w:val="20"/>
              </w:rPr>
              <w:t xml:space="preserve"> cases of discrimination in public administration</w:t>
            </w:r>
          </w:p>
        </w:tc>
        <w:tc>
          <w:tcPr>
            <w:tcW w:w="1781" w:type="dxa"/>
            <w:tcBorders>
              <w:top w:val="nil"/>
              <w:left w:val="nil"/>
              <w:bottom w:val="single" w:sz="4" w:space="0" w:color="auto"/>
              <w:right w:val="single" w:sz="4" w:space="0" w:color="auto"/>
            </w:tcBorders>
            <w:shd w:val="clear" w:color="000000" w:fill="FFFFFF"/>
            <w:vAlign w:val="center"/>
            <w:hideMark/>
          </w:tcPr>
          <w:p w14:paraId="22EB31E9" w14:textId="503E2689"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33E66F3E"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58</w:t>
            </w:r>
          </w:p>
        </w:tc>
        <w:tc>
          <w:tcPr>
            <w:tcW w:w="1568" w:type="dxa"/>
            <w:tcBorders>
              <w:top w:val="nil"/>
              <w:left w:val="nil"/>
              <w:bottom w:val="single" w:sz="4" w:space="0" w:color="auto"/>
              <w:right w:val="single" w:sz="4" w:space="0" w:color="auto"/>
            </w:tcBorders>
            <w:shd w:val="clear" w:color="auto" w:fill="auto"/>
            <w:noWrap/>
            <w:vAlign w:val="center"/>
            <w:hideMark/>
          </w:tcPr>
          <w:p w14:paraId="2A466ED3"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9</w:t>
            </w:r>
          </w:p>
        </w:tc>
        <w:tc>
          <w:tcPr>
            <w:tcW w:w="1568" w:type="dxa"/>
            <w:tcBorders>
              <w:top w:val="nil"/>
              <w:left w:val="nil"/>
              <w:bottom w:val="single" w:sz="4" w:space="0" w:color="auto"/>
              <w:right w:val="single" w:sz="4" w:space="0" w:color="auto"/>
            </w:tcBorders>
            <w:shd w:val="clear" w:color="auto" w:fill="auto"/>
            <w:noWrap/>
            <w:vAlign w:val="center"/>
            <w:hideMark/>
          </w:tcPr>
          <w:p w14:paraId="6B164B33"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49</w:t>
            </w:r>
          </w:p>
        </w:tc>
      </w:tr>
      <w:tr w:rsidR="00A35BA4" w:rsidRPr="009B39EC" w14:paraId="159A35C9" w14:textId="77777777" w:rsidTr="00A35BA4">
        <w:trPr>
          <w:trHeight w:val="614"/>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7C79815F"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10</w:t>
            </w:r>
          </w:p>
        </w:tc>
        <w:tc>
          <w:tcPr>
            <w:tcW w:w="1864" w:type="dxa"/>
            <w:tcBorders>
              <w:top w:val="nil"/>
              <w:left w:val="nil"/>
              <w:bottom w:val="single" w:sz="4" w:space="0" w:color="auto"/>
              <w:right w:val="single" w:sz="4" w:space="0" w:color="auto"/>
            </w:tcBorders>
            <w:shd w:val="clear" w:color="000000" w:fill="FFFFFF"/>
            <w:vAlign w:val="center"/>
            <w:hideMark/>
          </w:tcPr>
          <w:p w14:paraId="5C65246D" w14:textId="30B28F02" w:rsidR="00A35BA4" w:rsidRPr="009B39EC" w:rsidRDefault="003C2C2B" w:rsidP="00C76105">
            <w:pPr>
              <w:spacing w:after="0" w:line="240" w:lineRule="auto"/>
              <w:jc w:val="center"/>
              <w:rPr>
                <w:rFonts w:ascii="Arial" w:hAnsi="Arial" w:cs="Arial"/>
                <w:color w:val="000000"/>
                <w:sz w:val="20"/>
                <w:szCs w:val="20"/>
              </w:rPr>
            </w:pPr>
            <w:proofErr w:type="spellStart"/>
            <w:r w:rsidRPr="009B39EC">
              <w:rPr>
                <w:rFonts w:ascii="Arial" w:hAnsi="Arial" w:cs="Arial"/>
                <w:color w:val="000000"/>
                <w:sz w:val="20"/>
                <w:szCs w:val="20"/>
              </w:rPr>
              <w:t>Gender</w:t>
            </w:r>
            <w:proofErr w:type="spellEnd"/>
            <w:r w:rsidRPr="009B39EC">
              <w:rPr>
                <w:rFonts w:ascii="Arial" w:hAnsi="Arial" w:cs="Arial"/>
                <w:color w:val="000000"/>
                <w:sz w:val="20"/>
                <w:szCs w:val="20"/>
              </w:rPr>
              <w:t xml:space="preserve"> </w:t>
            </w:r>
            <w:proofErr w:type="spellStart"/>
            <w:r w:rsidRPr="009B39EC">
              <w:rPr>
                <w:rFonts w:ascii="Arial" w:hAnsi="Arial" w:cs="Arial"/>
                <w:color w:val="000000"/>
                <w:sz w:val="20"/>
                <w:szCs w:val="20"/>
              </w:rPr>
              <w:t>indicators</w:t>
            </w:r>
            <w:proofErr w:type="spellEnd"/>
          </w:p>
        </w:tc>
        <w:tc>
          <w:tcPr>
            <w:tcW w:w="1781" w:type="dxa"/>
            <w:tcBorders>
              <w:top w:val="nil"/>
              <w:left w:val="nil"/>
              <w:bottom w:val="single" w:sz="4" w:space="0" w:color="auto"/>
              <w:right w:val="single" w:sz="4" w:space="0" w:color="auto"/>
            </w:tcBorders>
            <w:shd w:val="clear" w:color="000000" w:fill="FFFFFF"/>
            <w:vAlign w:val="center"/>
            <w:hideMark/>
          </w:tcPr>
          <w:p w14:paraId="2F3360CF" w14:textId="67A4EE5B" w:rsidR="00A35BA4" w:rsidRPr="009B39EC" w:rsidRDefault="00A35BA4" w:rsidP="00C76105">
            <w:pPr>
              <w:spacing w:after="0" w:line="240" w:lineRule="auto"/>
              <w:jc w:val="center"/>
              <w:rPr>
                <w:rFonts w:ascii="Arial" w:hAnsi="Arial" w:cs="Arial"/>
                <w:color w:val="000000"/>
                <w:sz w:val="20"/>
                <w:szCs w:val="20"/>
              </w:rPr>
            </w:pPr>
            <w:r w:rsidRPr="009B39EC">
              <w:rPr>
                <w:rFonts w:ascii="Arial" w:eastAsia="Times New Roman" w:hAnsi="Arial" w:cs="Arial"/>
                <w:color w:val="000000"/>
                <w:sz w:val="20"/>
                <w:szCs w:val="20"/>
                <w:lang w:val="en-US"/>
              </w:rPr>
              <w:t>Gender Equality and Non-discrimination</w:t>
            </w:r>
          </w:p>
        </w:tc>
        <w:tc>
          <w:tcPr>
            <w:tcW w:w="1894" w:type="dxa"/>
            <w:tcBorders>
              <w:top w:val="nil"/>
              <w:left w:val="nil"/>
              <w:bottom w:val="single" w:sz="4" w:space="0" w:color="auto"/>
              <w:right w:val="single" w:sz="4" w:space="0" w:color="auto"/>
            </w:tcBorders>
            <w:shd w:val="clear" w:color="auto" w:fill="auto"/>
            <w:noWrap/>
            <w:vAlign w:val="center"/>
            <w:hideMark/>
          </w:tcPr>
          <w:p w14:paraId="6115BEA9"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14</w:t>
            </w:r>
          </w:p>
        </w:tc>
        <w:tc>
          <w:tcPr>
            <w:tcW w:w="1568" w:type="dxa"/>
            <w:tcBorders>
              <w:top w:val="nil"/>
              <w:left w:val="nil"/>
              <w:bottom w:val="single" w:sz="4" w:space="0" w:color="auto"/>
              <w:right w:val="single" w:sz="4" w:space="0" w:color="auto"/>
            </w:tcBorders>
            <w:shd w:val="clear" w:color="auto" w:fill="auto"/>
            <w:noWrap/>
            <w:vAlign w:val="center"/>
            <w:hideMark/>
          </w:tcPr>
          <w:p w14:paraId="1A4054F4"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3</w:t>
            </w:r>
          </w:p>
        </w:tc>
        <w:tc>
          <w:tcPr>
            <w:tcW w:w="1568" w:type="dxa"/>
            <w:tcBorders>
              <w:top w:val="nil"/>
              <w:left w:val="nil"/>
              <w:bottom w:val="single" w:sz="4" w:space="0" w:color="auto"/>
              <w:right w:val="single" w:sz="4" w:space="0" w:color="auto"/>
            </w:tcBorders>
            <w:shd w:val="clear" w:color="auto" w:fill="auto"/>
            <w:noWrap/>
            <w:vAlign w:val="center"/>
            <w:hideMark/>
          </w:tcPr>
          <w:p w14:paraId="3107DC46" w14:textId="77777777" w:rsidR="00A35BA4" w:rsidRPr="009B39EC" w:rsidRDefault="00A35BA4"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11</w:t>
            </w:r>
          </w:p>
        </w:tc>
      </w:tr>
      <w:tr w:rsidR="00A35BA4" w:rsidRPr="009B39EC" w14:paraId="7C91DCB9" w14:textId="77777777" w:rsidTr="00C76105">
        <w:trPr>
          <w:trHeight w:val="658"/>
        </w:trPr>
        <w:tc>
          <w:tcPr>
            <w:tcW w:w="4321"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580E1704" w14:textId="77777777" w:rsidR="00A35BA4" w:rsidRPr="009B39EC" w:rsidRDefault="00A35BA4" w:rsidP="00C76105">
            <w:pPr>
              <w:spacing w:after="0" w:line="240" w:lineRule="auto"/>
              <w:jc w:val="center"/>
              <w:rPr>
                <w:rFonts w:ascii="Arial" w:hAnsi="Arial" w:cs="Arial"/>
                <w:b/>
                <w:bCs/>
                <w:color w:val="000000"/>
                <w:sz w:val="20"/>
                <w:szCs w:val="20"/>
              </w:rPr>
            </w:pPr>
            <w:r w:rsidRPr="009B39EC">
              <w:rPr>
                <w:rFonts w:ascii="Arial" w:hAnsi="Arial" w:cs="Arial"/>
                <w:b/>
                <w:bCs/>
                <w:color w:val="000000"/>
                <w:sz w:val="20"/>
                <w:szCs w:val="20"/>
              </w:rPr>
              <w:t xml:space="preserve">Total </w:t>
            </w:r>
          </w:p>
        </w:tc>
        <w:tc>
          <w:tcPr>
            <w:tcW w:w="1894" w:type="dxa"/>
            <w:tcBorders>
              <w:top w:val="nil"/>
              <w:left w:val="nil"/>
              <w:bottom w:val="single" w:sz="4" w:space="0" w:color="auto"/>
              <w:right w:val="single" w:sz="4" w:space="0" w:color="auto"/>
            </w:tcBorders>
            <w:shd w:val="clear" w:color="000000" w:fill="DDEBF7"/>
            <w:noWrap/>
            <w:vAlign w:val="center"/>
            <w:hideMark/>
          </w:tcPr>
          <w:p w14:paraId="2F95DABB" w14:textId="77777777" w:rsidR="00A35BA4" w:rsidRPr="009B39EC" w:rsidRDefault="00A35BA4" w:rsidP="00C76105">
            <w:pPr>
              <w:spacing w:after="0" w:line="240" w:lineRule="auto"/>
              <w:jc w:val="center"/>
              <w:rPr>
                <w:rFonts w:ascii="Arial" w:hAnsi="Arial" w:cs="Arial"/>
                <w:b/>
                <w:bCs/>
                <w:color w:val="000000"/>
                <w:sz w:val="20"/>
                <w:szCs w:val="20"/>
              </w:rPr>
            </w:pPr>
            <w:r w:rsidRPr="009B39EC">
              <w:rPr>
                <w:rFonts w:ascii="Arial" w:hAnsi="Arial" w:cs="Arial"/>
                <w:b/>
                <w:bCs/>
                <w:color w:val="000000"/>
                <w:sz w:val="20"/>
                <w:szCs w:val="20"/>
              </w:rPr>
              <w:t>576</w:t>
            </w:r>
          </w:p>
        </w:tc>
        <w:tc>
          <w:tcPr>
            <w:tcW w:w="1568" w:type="dxa"/>
            <w:tcBorders>
              <w:top w:val="nil"/>
              <w:left w:val="nil"/>
              <w:bottom w:val="single" w:sz="4" w:space="0" w:color="auto"/>
              <w:right w:val="single" w:sz="4" w:space="0" w:color="auto"/>
            </w:tcBorders>
            <w:shd w:val="clear" w:color="000000" w:fill="DDEBF7"/>
            <w:noWrap/>
            <w:vAlign w:val="center"/>
            <w:hideMark/>
          </w:tcPr>
          <w:p w14:paraId="22F50F74" w14:textId="77777777" w:rsidR="00A35BA4" w:rsidRPr="009B39EC" w:rsidRDefault="00A35BA4" w:rsidP="00C76105">
            <w:pPr>
              <w:spacing w:after="0" w:line="240" w:lineRule="auto"/>
              <w:jc w:val="center"/>
              <w:rPr>
                <w:rFonts w:ascii="Arial" w:hAnsi="Arial" w:cs="Arial"/>
                <w:b/>
                <w:bCs/>
                <w:color w:val="000000"/>
                <w:sz w:val="20"/>
                <w:szCs w:val="20"/>
              </w:rPr>
            </w:pPr>
            <w:r w:rsidRPr="009B39EC">
              <w:rPr>
                <w:rFonts w:ascii="Arial" w:hAnsi="Arial" w:cs="Arial"/>
                <w:b/>
                <w:bCs/>
                <w:color w:val="000000"/>
                <w:sz w:val="20"/>
                <w:szCs w:val="20"/>
              </w:rPr>
              <w:t>208</w:t>
            </w:r>
          </w:p>
        </w:tc>
        <w:tc>
          <w:tcPr>
            <w:tcW w:w="1568" w:type="dxa"/>
            <w:tcBorders>
              <w:top w:val="nil"/>
              <w:left w:val="nil"/>
              <w:bottom w:val="single" w:sz="4" w:space="0" w:color="auto"/>
              <w:right w:val="single" w:sz="4" w:space="0" w:color="auto"/>
            </w:tcBorders>
            <w:shd w:val="clear" w:color="000000" w:fill="DDEBF7"/>
            <w:noWrap/>
            <w:vAlign w:val="center"/>
            <w:hideMark/>
          </w:tcPr>
          <w:p w14:paraId="2E5E8E9D" w14:textId="77777777" w:rsidR="00A35BA4" w:rsidRPr="009B39EC" w:rsidRDefault="00A35BA4" w:rsidP="00C76105">
            <w:pPr>
              <w:spacing w:after="0" w:line="240" w:lineRule="auto"/>
              <w:jc w:val="center"/>
              <w:rPr>
                <w:rFonts w:ascii="Arial" w:hAnsi="Arial" w:cs="Arial"/>
                <w:b/>
                <w:bCs/>
                <w:color w:val="000000"/>
                <w:sz w:val="20"/>
                <w:szCs w:val="20"/>
              </w:rPr>
            </w:pPr>
            <w:r w:rsidRPr="009B39EC">
              <w:rPr>
                <w:rFonts w:ascii="Arial" w:hAnsi="Arial" w:cs="Arial"/>
                <w:b/>
                <w:bCs/>
                <w:color w:val="000000"/>
                <w:sz w:val="20"/>
                <w:szCs w:val="20"/>
              </w:rPr>
              <w:t>368</w:t>
            </w:r>
          </w:p>
        </w:tc>
      </w:tr>
    </w:tbl>
    <w:p w14:paraId="19C16D7C" w14:textId="0433E740" w:rsidR="000157E7" w:rsidRPr="009B39EC" w:rsidRDefault="000157E7" w:rsidP="00A33F2E">
      <w:pPr>
        <w:spacing w:after="0" w:line="240" w:lineRule="auto"/>
        <w:jc w:val="both"/>
        <w:rPr>
          <w:rFonts w:ascii="Arial" w:hAnsi="Arial" w:cs="Arial"/>
          <w:sz w:val="20"/>
          <w:szCs w:val="20"/>
          <w:lang w:val="en-GB"/>
        </w:rPr>
      </w:pPr>
    </w:p>
    <w:p w14:paraId="563B3786" w14:textId="2F0F7A0E" w:rsidR="003C2C2B" w:rsidRDefault="003C2C2B" w:rsidP="00A33F2E">
      <w:pPr>
        <w:spacing w:after="0" w:line="240" w:lineRule="auto"/>
        <w:jc w:val="both"/>
        <w:rPr>
          <w:rFonts w:ascii="Arial" w:hAnsi="Arial" w:cs="Arial"/>
          <w:sz w:val="20"/>
          <w:szCs w:val="20"/>
          <w:lang w:val="en-GB"/>
        </w:rPr>
      </w:pPr>
    </w:p>
    <w:p w14:paraId="7FCA2A3F" w14:textId="09C3B7D0" w:rsidR="009B39EC" w:rsidRDefault="009B39EC" w:rsidP="00A33F2E">
      <w:pPr>
        <w:spacing w:after="0" w:line="240" w:lineRule="auto"/>
        <w:jc w:val="both"/>
        <w:rPr>
          <w:rFonts w:ascii="Arial" w:hAnsi="Arial" w:cs="Arial"/>
          <w:sz w:val="20"/>
          <w:szCs w:val="20"/>
          <w:lang w:val="en-GB"/>
        </w:rPr>
      </w:pPr>
    </w:p>
    <w:p w14:paraId="346F6308" w14:textId="3036F3C9" w:rsidR="009B39EC" w:rsidRDefault="009B39EC" w:rsidP="00A33F2E">
      <w:pPr>
        <w:spacing w:after="0" w:line="240" w:lineRule="auto"/>
        <w:jc w:val="both"/>
        <w:rPr>
          <w:rFonts w:ascii="Arial" w:hAnsi="Arial" w:cs="Arial"/>
          <w:sz w:val="20"/>
          <w:szCs w:val="20"/>
          <w:lang w:val="en-GB"/>
        </w:rPr>
      </w:pPr>
    </w:p>
    <w:p w14:paraId="4733439B" w14:textId="77777777" w:rsidR="009B39EC" w:rsidRPr="009B39EC" w:rsidRDefault="009B39EC" w:rsidP="00A33F2E">
      <w:pPr>
        <w:spacing w:after="0" w:line="240" w:lineRule="auto"/>
        <w:jc w:val="both"/>
        <w:rPr>
          <w:rFonts w:ascii="Arial" w:hAnsi="Arial" w:cs="Arial"/>
          <w:sz w:val="20"/>
          <w:szCs w:val="20"/>
          <w:lang w:val="en-GB"/>
        </w:rPr>
      </w:pPr>
    </w:p>
    <w:p w14:paraId="28FD3615" w14:textId="663675BD" w:rsidR="003C2C2B" w:rsidRPr="009B39EC" w:rsidRDefault="003C2C2B" w:rsidP="00A33F2E">
      <w:pPr>
        <w:spacing w:after="0" w:line="240" w:lineRule="auto"/>
        <w:jc w:val="both"/>
        <w:rPr>
          <w:rFonts w:ascii="Arial" w:hAnsi="Arial" w:cs="Arial"/>
          <w:sz w:val="20"/>
          <w:szCs w:val="20"/>
          <w:lang w:val="en-GB"/>
        </w:rPr>
      </w:pPr>
      <w:r w:rsidRPr="009B39EC">
        <w:rPr>
          <w:rFonts w:ascii="Arial" w:hAnsi="Arial" w:cs="Arial"/>
          <w:sz w:val="20"/>
          <w:szCs w:val="20"/>
          <w:lang w:val="en-GB"/>
        </w:rPr>
        <w:lastRenderedPageBreak/>
        <w:t>Table 4: Data on trainings related to the Istanbul Convention for the years 2018, 2019, 2020 and January-24 June 2021</w:t>
      </w:r>
    </w:p>
    <w:p w14:paraId="524FB1B2" w14:textId="3B142E58" w:rsidR="003C2C2B" w:rsidRPr="009B39EC" w:rsidRDefault="003C2C2B" w:rsidP="00A33F2E">
      <w:pPr>
        <w:spacing w:after="0" w:line="240" w:lineRule="auto"/>
        <w:jc w:val="both"/>
        <w:rPr>
          <w:rFonts w:ascii="Arial" w:hAnsi="Arial" w:cs="Arial"/>
          <w:sz w:val="20"/>
          <w:szCs w:val="20"/>
          <w:lang w:val="en-GB"/>
        </w:rPr>
      </w:pPr>
    </w:p>
    <w:tbl>
      <w:tblPr>
        <w:tblW w:w="7530" w:type="dxa"/>
        <w:tblLook w:val="04A0" w:firstRow="1" w:lastRow="0" w:firstColumn="1" w:lastColumn="0" w:noHBand="0" w:noVBand="1"/>
      </w:tblPr>
      <w:tblGrid>
        <w:gridCol w:w="2550"/>
        <w:gridCol w:w="2411"/>
        <w:gridCol w:w="2569"/>
      </w:tblGrid>
      <w:tr w:rsidR="003C2C2B" w:rsidRPr="009B39EC" w14:paraId="0A33C323" w14:textId="77777777" w:rsidTr="00C76105">
        <w:trPr>
          <w:trHeight w:val="730"/>
        </w:trPr>
        <w:tc>
          <w:tcPr>
            <w:tcW w:w="2550" w:type="dxa"/>
            <w:tcBorders>
              <w:top w:val="nil"/>
              <w:left w:val="nil"/>
              <w:bottom w:val="nil"/>
              <w:right w:val="nil"/>
            </w:tcBorders>
            <w:shd w:val="clear" w:color="auto" w:fill="auto"/>
            <w:noWrap/>
            <w:vAlign w:val="bottom"/>
            <w:hideMark/>
          </w:tcPr>
          <w:p w14:paraId="15F1E718" w14:textId="77777777" w:rsidR="003C2C2B" w:rsidRPr="009B39EC" w:rsidRDefault="003C2C2B" w:rsidP="00C76105">
            <w:pPr>
              <w:spacing w:after="0" w:line="240" w:lineRule="auto"/>
              <w:rPr>
                <w:rFonts w:ascii="Arial" w:hAnsi="Arial" w:cs="Arial"/>
                <w:sz w:val="20"/>
                <w:szCs w:val="20"/>
              </w:rPr>
            </w:pPr>
          </w:p>
        </w:tc>
        <w:tc>
          <w:tcPr>
            <w:tcW w:w="4980" w:type="dxa"/>
            <w:gridSpan w:val="2"/>
            <w:tcBorders>
              <w:top w:val="single" w:sz="4" w:space="0" w:color="auto"/>
              <w:left w:val="single" w:sz="4" w:space="0" w:color="auto"/>
              <w:bottom w:val="single" w:sz="4" w:space="0" w:color="auto"/>
              <w:right w:val="single" w:sz="4" w:space="0" w:color="000000"/>
            </w:tcBorders>
            <w:shd w:val="clear" w:color="000000" w:fill="5B9BD5"/>
            <w:vAlign w:val="center"/>
            <w:hideMark/>
          </w:tcPr>
          <w:p w14:paraId="7C3B4E32" w14:textId="7C18AD75" w:rsidR="003C2C2B" w:rsidRPr="009B39EC" w:rsidRDefault="003C2C2B" w:rsidP="00C76105">
            <w:pPr>
              <w:spacing w:after="0" w:line="240" w:lineRule="auto"/>
              <w:jc w:val="center"/>
              <w:rPr>
                <w:rFonts w:ascii="Arial" w:hAnsi="Arial" w:cs="Arial"/>
                <w:b/>
                <w:bCs/>
                <w:color w:val="000000"/>
                <w:sz w:val="20"/>
                <w:szCs w:val="20"/>
              </w:rPr>
            </w:pPr>
            <w:r w:rsidRPr="009B39EC">
              <w:rPr>
                <w:rFonts w:ascii="Arial" w:hAnsi="Arial" w:cs="Arial"/>
                <w:b/>
                <w:bCs/>
                <w:color w:val="000000"/>
                <w:sz w:val="20"/>
                <w:szCs w:val="20"/>
              </w:rPr>
              <w:t xml:space="preserve">Trainings </w:t>
            </w:r>
            <w:proofErr w:type="spellStart"/>
            <w:r w:rsidRPr="009B39EC">
              <w:rPr>
                <w:rFonts w:ascii="Arial" w:hAnsi="Arial" w:cs="Arial"/>
                <w:b/>
                <w:bCs/>
                <w:color w:val="000000"/>
                <w:sz w:val="20"/>
                <w:szCs w:val="20"/>
              </w:rPr>
              <w:t>conducted</w:t>
            </w:r>
            <w:proofErr w:type="spellEnd"/>
            <w:r w:rsidRPr="009B39EC">
              <w:rPr>
                <w:rFonts w:ascii="Arial" w:hAnsi="Arial" w:cs="Arial"/>
                <w:b/>
                <w:bCs/>
                <w:color w:val="000000"/>
                <w:sz w:val="20"/>
                <w:szCs w:val="20"/>
              </w:rPr>
              <w:t xml:space="preserve"> by ASPA </w:t>
            </w:r>
            <w:proofErr w:type="spellStart"/>
            <w:r w:rsidRPr="009B39EC">
              <w:rPr>
                <w:rFonts w:ascii="Arial" w:hAnsi="Arial" w:cs="Arial"/>
                <w:b/>
                <w:bCs/>
                <w:color w:val="000000"/>
                <w:sz w:val="20"/>
                <w:szCs w:val="20"/>
              </w:rPr>
              <w:t>related</w:t>
            </w:r>
            <w:proofErr w:type="spellEnd"/>
            <w:r w:rsidRPr="009B39EC">
              <w:rPr>
                <w:rFonts w:ascii="Arial" w:hAnsi="Arial" w:cs="Arial"/>
                <w:b/>
                <w:bCs/>
                <w:color w:val="000000"/>
                <w:sz w:val="20"/>
                <w:szCs w:val="20"/>
              </w:rPr>
              <w:t xml:space="preserve"> to the Istanbul Convention</w:t>
            </w:r>
          </w:p>
        </w:tc>
      </w:tr>
      <w:tr w:rsidR="003C2C2B" w:rsidRPr="009B39EC" w14:paraId="68A152C6" w14:textId="77777777" w:rsidTr="00C76105">
        <w:trPr>
          <w:trHeight w:val="694"/>
        </w:trPr>
        <w:tc>
          <w:tcPr>
            <w:tcW w:w="2550" w:type="dxa"/>
            <w:tcBorders>
              <w:top w:val="nil"/>
              <w:left w:val="nil"/>
              <w:bottom w:val="nil"/>
              <w:right w:val="nil"/>
            </w:tcBorders>
            <w:shd w:val="clear" w:color="auto" w:fill="auto"/>
            <w:noWrap/>
            <w:vAlign w:val="bottom"/>
            <w:hideMark/>
          </w:tcPr>
          <w:p w14:paraId="7ED1C9A3" w14:textId="77777777" w:rsidR="003C2C2B" w:rsidRPr="009B39EC" w:rsidRDefault="003C2C2B" w:rsidP="00C76105">
            <w:pPr>
              <w:spacing w:after="0" w:line="240" w:lineRule="auto"/>
              <w:jc w:val="center"/>
              <w:rPr>
                <w:rFonts w:ascii="Arial" w:hAnsi="Arial" w:cs="Arial"/>
                <w:b/>
                <w:bCs/>
                <w:color w:val="000000"/>
                <w:sz w:val="20"/>
                <w:szCs w:val="20"/>
              </w:rPr>
            </w:pPr>
          </w:p>
        </w:tc>
        <w:tc>
          <w:tcPr>
            <w:tcW w:w="2411" w:type="dxa"/>
            <w:tcBorders>
              <w:top w:val="nil"/>
              <w:left w:val="single" w:sz="4" w:space="0" w:color="auto"/>
              <w:bottom w:val="single" w:sz="4" w:space="0" w:color="auto"/>
              <w:right w:val="single" w:sz="4" w:space="0" w:color="auto"/>
            </w:tcBorders>
            <w:shd w:val="clear" w:color="000000" w:fill="BDD7EE"/>
            <w:noWrap/>
            <w:vAlign w:val="center"/>
            <w:hideMark/>
          </w:tcPr>
          <w:p w14:paraId="51316DB2" w14:textId="52EC929C" w:rsidR="003C2C2B" w:rsidRPr="009B39EC" w:rsidRDefault="003C2C2B" w:rsidP="00C76105">
            <w:pPr>
              <w:spacing w:after="0" w:line="240" w:lineRule="auto"/>
              <w:jc w:val="center"/>
              <w:rPr>
                <w:rFonts w:ascii="Arial" w:hAnsi="Arial" w:cs="Arial"/>
                <w:b/>
                <w:bCs/>
                <w:color w:val="000000"/>
                <w:sz w:val="20"/>
                <w:szCs w:val="20"/>
              </w:rPr>
            </w:pPr>
            <w:proofErr w:type="spellStart"/>
            <w:r w:rsidRPr="009B39EC">
              <w:rPr>
                <w:rFonts w:ascii="Arial" w:hAnsi="Arial" w:cs="Arial"/>
                <w:b/>
                <w:bCs/>
                <w:color w:val="000000"/>
                <w:sz w:val="20"/>
                <w:szCs w:val="20"/>
              </w:rPr>
              <w:t>Year</w:t>
            </w:r>
            <w:proofErr w:type="spellEnd"/>
          </w:p>
        </w:tc>
        <w:tc>
          <w:tcPr>
            <w:tcW w:w="2569" w:type="dxa"/>
            <w:tcBorders>
              <w:top w:val="nil"/>
              <w:left w:val="nil"/>
              <w:bottom w:val="single" w:sz="4" w:space="0" w:color="auto"/>
              <w:right w:val="single" w:sz="4" w:space="0" w:color="auto"/>
            </w:tcBorders>
            <w:shd w:val="clear" w:color="000000" w:fill="BDD7EE"/>
            <w:noWrap/>
            <w:vAlign w:val="center"/>
            <w:hideMark/>
          </w:tcPr>
          <w:p w14:paraId="704A2CB0" w14:textId="191B6950" w:rsidR="003C2C2B" w:rsidRPr="009B39EC" w:rsidRDefault="003C2C2B" w:rsidP="00C76105">
            <w:pPr>
              <w:spacing w:after="0" w:line="240" w:lineRule="auto"/>
              <w:jc w:val="center"/>
              <w:rPr>
                <w:rFonts w:ascii="Arial" w:hAnsi="Arial" w:cs="Arial"/>
                <w:b/>
                <w:bCs/>
                <w:color w:val="000000"/>
                <w:sz w:val="20"/>
                <w:szCs w:val="20"/>
              </w:rPr>
            </w:pPr>
            <w:proofErr w:type="spellStart"/>
            <w:r w:rsidRPr="009B39EC">
              <w:rPr>
                <w:rFonts w:ascii="Arial" w:hAnsi="Arial" w:cs="Arial"/>
                <w:b/>
                <w:bCs/>
                <w:color w:val="000000"/>
                <w:sz w:val="20"/>
                <w:szCs w:val="20"/>
              </w:rPr>
              <w:t>Number</w:t>
            </w:r>
            <w:proofErr w:type="spellEnd"/>
            <w:r w:rsidRPr="009B39EC">
              <w:rPr>
                <w:rFonts w:ascii="Arial" w:hAnsi="Arial" w:cs="Arial"/>
                <w:b/>
                <w:bCs/>
                <w:color w:val="000000"/>
                <w:sz w:val="20"/>
                <w:szCs w:val="20"/>
              </w:rPr>
              <w:t xml:space="preserve"> of participants</w:t>
            </w:r>
          </w:p>
        </w:tc>
      </w:tr>
      <w:tr w:rsidR="003C2C2B" w:rsidRPr="009B39EC" w14:paraId="38B27B5F" w14:textId="77777777" w:rsidTr="00C76105">
        <w:trPr>
          <w:trHeight w:val="505"/>
        </w:trPr>
        <w:tc>
          <w:tcPr>
            <w:tcW w:w="2550" w:type="dxa"/>
            <w:tcBorders>
              <w:top w:val="nil"/>
              <w:left w:val="nil"/>
              <w:bottom w:val="nil"/>
              <w:right w:val="nil"/>
            </w:tcBorders>
            <w:shd w:val="clear" w:color="auto" w:fill="auto"/>
            <w:noWrap/>
            <w:vAlign w:val="bottom"/>
            <w:hideMark/>
          </w:tcPr>
          <w:p w14:paraId="0FF15312" w14:textId="77777777" w:rsidR="003C2C2B" w:rsidRPr="009B39EC" w:rsidRDefault="003C2C2B" w:rsidP="00C76105">
            <w:pPr>
              <w:spacing w:after="0" w:line="240" w:lineRule="auto"/>
              <w:jc w:val="center"/>
              <w:rPr>
                <w:rFonts w:ascii="Arial" w:hAnsi="Arial" w:cs="Arial"/>
                <w:b/>
                <w:bCs/>
                <w:color w:val="000000"/>
                <w:sz w:val="20"/>
                <w:szCs w:val="20"/>
              </w:rPr>
            </w:pPr>
          </w:p>
        </w:tc>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380C848C" w14:textId="77777777" w:rsidR="003C2C2B" w:rsidRPr="009B39EC" w:rsidRDefault="003C2C2B"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2018</w:t>
            </w:r>
          </w:p>
        </w:tc>
        <w:tc>
          <w:tcPr>
            <w:tcW w:w="2569" w:type="dxa"/>
            <w:tcBorders>
              <w:top w:val="nil"/>
              <w:left w:val="nil"/>
              <w:bottom w:val="single" w:sz="4" w:space="0" w:color="auto"/>
              <w:right w:val="single" w:sz="4" w:space="0" w:color="auto"/>
            </w:tcBorders>
            <w:shd w:val="clear" w:color="auto" w:fill="auto"/>
            <w:noWrap/>
            <w:vAlign w:val="bottom"/>
            <w:hideMark/>
          </w:tcPr>
          <w:p w14:paraId="5345D2BD" w14:textId="77777777" w:rsidR="003C2C2B" w:rsidRPr="009B39EC" w:rsidRDefault="003C2C2B" w:rsidP="009B39EC">
            <w:pPr>
              <w:spacing w:after="0" w:line="240" w:lineRule="auto"/>
              <w:jc w:val="center"/>
              <w:rPr>
                <w:rFonts w:ascii="Arial" w:hAnsi="Arial" w:cs="Arial"/>
                <w:color w:val="000000"/>
                <w:sz w:val="20"/>
                <w:szCs w:val="20"/>
              </w:rPr>
            </w:pPr>
            <w:r w:rsidRPr="009B39EC">
              <w:rPr>
                <w:rFonts w:ascii="Arial" w:hAnsi="Arial" w:cs="Arial"/>
                <w:color w:val="000000"/>
                <w:sz w:val="20"/>
                <w:szCs w:val="20"/>
              </w:rPr>
              <w:t>15</w:t>
            </w:r>
          </w:p>
        </w:tc>
      </w:tr>
      <w:tr w:rsidR="003C2C2B" w:rsidRPr="009B39EC" w14:paraId="768B3C2E" w14:textId="77777777" w:rsidTr="00C76105">
        <w:trPr>
          <w:trHeight w:val="478"/>
        </w:trPr>
        <w:tc>
          <w:tcPr>
            <w:tcW w:w="2550" w:type="dxa"/>
            <w:tcBorders>
              <w:top w:val="nil"/>
              <w:left w:val="nil"/>
              <w:bottom w:val="nil"/>
              <w:right w:val="nil"/>
            </w:tcBorders>
            <w:shd w:val="clear" w:color="auto" w:fill="auto"/>
            <w:noWrap/>
            <w:vAlign w:val="bottom"/>
            <w:hideMark/>
          </w:tcPr>
          <w:p w14:paraId="3233B5C4" w14:textId="77777777" w:rsidR="003C2C2B" w:rsidRPr="009B39EC" w:rsidRDefault="003C2C2B" w:rsidP="00C76105">
            <w:pPr>
              <w:spacing w:after="0" w:line="240" w:lineRule="auto"/>
              <w:jc w:val="right"/>
              <w:rPr>
                <w:rFonts w:ascii="Arial" w:hAnsi="Arial" w:cs="Arial"/>
                <w:color w:val="000000"/>
                <w:sz w:val="20"/>
                <w:szCs w:val="20"/>
              </w:rPr>
            </w:pPr>
          </w:p>
        </w:tc>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04D0FA45" w14:textId="77777777" w:rsidR="003C2C2B" w:rsidRPr="009B39EC" w:rsidRDefault="003C2C2B"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2019</w:t>
            </w:r>
          </w:p>
        </w:tc>
        <w:tc>
          <w:tcPr>
            <w:tcW w:w="2569" w:type="dxa"/>
            <w:tcBorders>
              <w:top w:val="nil"/>
              <w:left w:val="nil"/>
              <w:bottom w:val="single" w:sz="4" w:space="0" w:color="auto"/>
              <w:right w:val="single" w:sz="4" w:space="0" w:color="auto"/>
            </w:tcBorders>
            <w:shd w:val="clear" w:color="auto" w:fill="auto"/>
            <w:noWrap/>
            <w:vAlign w:val="bottom"/>
            <w:hideMark/>
          </w:tcPr>
          <w:p w14:paraId="601DE947" w14:textId="77777777" w:rsidR="003C2C2B" w:rsidRPr="009B39EC" w:rsidRDefault="003C2C2B" w:rsidP="009B39EC">
            <w:pPr>
              <w:spacing w:after="0" w:line="240" w:lineRule="auto"/>
              <w:jc w:val="center"/>
              <w:rPr>
                <w:rFonts w:ascii="Arial" w:hAnsi="Arial" w:cs="Arial"/>
                <w:color w:val="000000"/>
                <w:sz w:val="20"/>
                <w:szCs w:val="20"/>
              </w:rPr>
            </w:pPr>
            <w:r w:rsidRPr="009B39EC">
              <w:rPr>
                <w:rFonts w:ascii="Arial" w:hAnsi="Arial" w:cs="Arial"/>
                <w:color w:val="000000"/>
                <w:sz w:val="20"/>
                <w:szCs w:val="20"/>
              </w:rPr>
              <w:t>201</w:t>
            </w:r>
          </w:p>
        </w:tc>
      </w:tr>
      <w:tr w:rsidR="003C2C2B" w:rsidRPr="009B39EC" w14:paraId="7AA00DAC" w14:textId="77777777" w:rsidTr="00C76105">
        <w:trPr>
          <w:trHeight w:val="370"/>
        </w:trPr>
        <w:tc>
          <w:tcPr>
            <w:tcW w:w="2550" w:type="dxa"/>
            <w:tcBorders>
              <w:top w:val="nil"/>
              <w:left w:val="nil"/>
              <w:bottom w:val="nil"/>
              <w:right w:val="nil"/>
            </w:tcBorders>
            <w:shd w:val="clear" w:color="auto" w:fill="auto"/>
            <w:noWrap/>
            <w:vAlign w:val="bottom"/>
            <w:hideMark/>
          </w:tcPr>
          <w:p w14:paraId="5690A66C" w14:textId="77777777" w:rsidR="003C2C2B" w:rsidRPr="009B39EC" w:rsidRDefault="003C2C2B" w:rsidP="00C76105">
            <w:pPr>
              <w:spacing w:after="0" w:line="240" w:lineRule="auto"/>
              <w:jc w:val="right"/>
              <w:rPr>
                <w:rFonts w:ascii="Arial" w:hAnsi="Arial" w:cs="Arial"/>
                <w:color w:val="000000"/>
                <w:sz w:val="20"/>
                <w:szCs w:val="20"/>
              </w:rPr>
            </w:pPr>
          </w:p>
        </w:tc>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064D64DD" w14:textId="77777777" w:rsidR="003C2C2B" w:rsidRPr="009B39EC" w:rsidRDefault="003C2C2B" w:rsidP="00C76105">
            <w:pPr>
              <w:spacing w:after="0" w:line="240" w:lineRule="auto"/>
              <w:jc w:val="center"/>
              <w:rPr>
                <w:rFonts w:ascii="Arial" w:hAnsi="Arial" w:cs="Arial"/>
                <w:color w:val="000000"/>
                <w:sz w:val="20"/>
                <w:szCs w:val="20"/>
              </w:rPr>
            </w:pPr>
            <w:r w:rsidRPr="009B39EC">
              <w:rPr>
                <w:rFonts w:ascii="Arial" w:hAnsi="Arial" w:cs="Arial"/>
                <w:color w:val="000000"/>
                <w:sz w:val="20"/>
                <w:szCs w:val="20"/>
              </w:rPr>
              <w:t>2020</w:t>
            </w:r>
          </w:p>
        </w:tc>
        <w:tc>
          <w:tcPr>
            <w:tcW w:w="2569" w:type="dxa"/>
            <w:tcBorders>
              <w:top w:val="nil"/>
              <w:left w:val="nil"/>
              <w:bottom w:val="single" w:sz="4" w:space="0" w:color="auto"/>
              <w:right w:val="single" w:sz="4" w:space="0" w:color="auto"/>
            </w:tcBorders>
            <w:shd w:val="clear" w:color="auto" w:fill="auto"/>
            <w:noWrap/>
            <w:vAlign w:val="bottom"/>
            <w:hideMark/>
          </w:tcPr>
          <w:p w14:paraId="62232DC7" w14:textId="77777777" w:rsidR="003C2C2B" w:rsidRPr="009B39EC" w:rsidRDefault="003C2C2B" w:rsidP="009B39EC">
            <w:pPr>
              <w:spacing w:after="0" w:line="240" w:lineRule="auto"/>
              <w:jc w:val="center"/>
              <w:rPr>
                <w:rFonts w:ascii="Arial" w:hAnsi="Arial" w:cs="Arial"/>
                <w:color w:val="000000"/>
                <w:sz w:val="20"/>
                <w:szCs w:val="20"/>
              </w:rPr>
            </w:pPr>
            <w:r w:rsidRPr="009B39EC">
              <w:rPr>
                <w:rFonts w:ascii="Arial" w:hAnsi="Arial" w:cs="Arial"/>
                <w:color w:val="000000"/>
                <w:sz w:val="20"/>
                <w:szCs w:val="20"/>
              </w:rPr>
              <w:t>1136</w:t>
            </w:r>
          </w:p>
        </w:tc>
      </w:tr>
      <w:tr w:rsidR="003C2C2B" w:rsidRPr="009B39EC" w14:paraId="77E91585" w14:textId="77777777" w:rsidTr="00C76105">
        <w:trPr>
          <w:trHeight w:val="218"/>
        </w:trPr>
        <w:tc>
          <w:tcPr>
            <w:tcW w:w="2550" w:type="dxa"/>
            <w:tcBorders>
              <w:top w:val="nil"/>
              <w:left w:val="nil"/>
              <w:bottom w:val="nil"/>
              <w:right w:val="nil"/>
            </w:tcBorders>
            <w:shd w:val="clear" w:color="auto" w:fill="auto"/>
            <w:noWrap/>
            <w:vAlign w:val="bottom"/>
            <w:hideMark/>
          </w:tcPr>
          <w:p w14:paraId="69396C47" w14:textId="77777777" w:rsidR="003C2C2B" w:rsidRPr="009B39EC" w:rsidRDefault="003C2C2B" w:rsidP="00C76105">
            <w:pPr>
              <w:spacing w:after="0" w:line="240" w:lineRule="auto"/>
              <w:jc w:val="right"/>
              <w:rPr>
                <w:rFonts w:ascii="Arial" w:hAnsi="Arial" w:cs="Arial"/>
                <w:color w:val="000000"/>
                <w:sz w:val="20"/>
                <w:szCs w:val="20"/>
              </w:rPr>
            </w:pPr>
          </w:p>
        </w:tc>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AFBD61A" w14:textId="5C8F578E" w:rsidR="003C2C2B" w:rsidRPr="009B39EC" w:rsidRDefault="003C2C2B" w:rsidP="00C76105">
            <w:pPr>
              <w:spacing w:after="0" w:line="240" w:lineRule="auto"/>
              <w:jc w:val="center"/>
              <w:rPr>
                <w:rFonts w:ascii="Arial" w:hAnsi="Arial" w:cs="Arial"/>
                <w:color w:val="000000"/>
                <w:sz w:val="20"/>
                <w:szCs w:val="20"/>
              </w:rPr>
            </w:pPr>
            <w:proofErr w:type="spellStart"/>
            <w:r w:rsidRPr="009B39EC">
              <w:rPr>
                <w:rFonts w:ascii="Arial" w:hAnsi="Arial" w:cs="Arial"/>
                <w:color w:val="000000"/>
                <w:sz w:val="20"/>
                <w:szCs w:val="20"/>
              </w:rPr>
              <w:t>January</w:t>
            </w:r>
            <w:proofErr w:type="spellEnd"/>
            <w:r w:rsidRPr="009B39EC">
              <w:rPr>
                <w:rFonts w:ascii="Arial" w:hAnsi="Arial" w:cs="Arial"/>
                <w:color w:val="000000"/>
                <w:sz w:val="20"/>
                <w:szCs w:val="20"/>
              </w:rPr>
              <w:t xml:space="preserve"> -24 June 2021</w:t>
            </w:r>
          </w:p>
        </w:tc>
        <w:tc>
          <w:tcPr>
            <w:tcW w:w="2569" w:type="dxa"/>
            <w:tcBorders>
              <w:top w:val="nil"/>
              <w:left w:val="nil"/>
              <w:bottom w:val="single" w:sz="4" w:space="0" w:color="auto"/>
              <w:right w:val="single" w:sz="4" w:space="0" w:color="auto"/>
            </w:tcBorders>
            <w:shd w:val="clear" w:color="auto" w:fill="auto"/>
            <w:noWrap/>
            <w:vAlign w:val="bottom"/>
            <w:hideMark/>
          </w:tcPr>
          <w:p w14:paraId="0A519C62" w14:textId="77777777" w:rsidR="003C2C2B" w:rsidRPr="009B39EC" w:rsidRDefault="003C2C2B" w:rsidP="009B39EC">
            <w:pPr>
              <w:spacing w:after="0" w:line="240" w:lineRule="auto"/>
              <w:jc w:val="center"/>
              <w:rPr>
                <w:rFonts w:ascii="Arial" w:hAnsi="Arial" w:cs="Arial"/>
                <w:color w:val="000000"/>
                <w:sz w:val="20"/>
                <w:szCs w:val="20"/>
              </w:rPr>
            </w:pPr>
            <w:r w:rsidRPr="009B39EC">
              <w:rPr>
                <w:rFonts w:ascii="Arial" w:hAnsi="Arial" w:cs="Arial"/>
                <w:color w:val="000000"/>
                <w:sz w:val="20"/>
                <w:szCs w:val="20"/>
              </w:rPr>
              <w:t>576</w:t>
            </w:r>
          </w:p>
        </w:tc>
      </w:tr>
    </w:tbl>
    <w:p w14:paraId="43EB78D1" w14:textId="77777777" w:rsidR="003C2C2B" w:rsidRPr="009B39EC" w:rsidRDefault="003C2C2B" w:rsidP="003C2C2B">
      <w:pPr>
        <w:spacing w:after="0" w:line="240" w:lineRule="auto"/>
        <w:jc w:val="both"/>
        <w:rPr>
          <w:rFonts w:ascii="Arial" w:hAnsi="Arial" w:cs="Arial"/>
          <w:sz w:val="20"/>
          <w:szCs w:val="20"/>
          <w:lang w:val="en-GB"/>
        </w:rPr>
      </w:pPr>
    </w:p>
    <w:p w14:paraId="1042C5A8" w14:textId="77777777" w:rsidR="003C2C2B" w:rsidRPr="009B39EC" w:rsidRDefault="003C2C2B" w:rsidP="00A33F2E">
      <w:pPr>
        <w:spacing w:after="0" w:line="240" w:lineRule="auto"/>
        <w:jc w:val="both"/>
        <w:rPr>
          <w:rFonts w:ascii="Arial" w:hAnsi="Arial" w:cs="Arial"/>
          <w:sz w:val="20"/>
          <w:szCs w:val="20"/>
          <w:lang w:val="en-GB"/>
        </w:rPr>
      </w:pPr>
    </w:p>
    <w:sectPr w:rsidR="003C2C2B" w:rsidRPr="009B39EC" w:rsidSect="00D909B7">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00B6" w14:textId="77777777" w:rsidR="008F66B3" w:rsidRDefault="008F66B3">
      <w:pPr>
        <w:spacing w:after="0" w:line="240" w:lineRule="auto"/>
      </w:pPr>
      <w:r>
        <w:separator/>
      </w:r>
    </w:p>
  </w:endnote>
  <w:endnote w:type="continuationSeparator" w:id="0">
    <w:p w14:paraId="3D93BF43" w14:textId="77777777" w:rsidR="008F66B3" w:rsidRDefault="008F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A6FB" w14:textId="77777777" w:rsidR="00D12DC1" w:rsidRPr="00972BE1" w:rsidRDefault="00D12DC1">
    <w:pPr>
      <w:jc w:val="center"/>
      <w:rPr>
        <w:caps/>
        <w:noProof/>
        <w:color w:val="4472C4" w:themeColor="accent1"/>
        <w:sz w:val="20"/>
        <w:szCs w:val="20"/>
      </w:rPr>
    </w:pPr>
    <w:r w:rsidRPr="00972BE1">
      <w:rPr>
        <w:caps/>
        <w:color w:val="4472C4" w:themeColor="accent1"/>
        <w:sz w:val="20"/>
        <w:szCs w:val="20"/>
      </w:rPr>
      <w:fldChar w:fldCharType="begin"/>
    </w:r>
    <w:r w:rsidRPr="00972BE1">
      <w:rPr>
        <w:caps/>
        <w:color w:val="4472C4" w:themeColor="accent1"/>
        <w:sz w:val="20"/>
        <w:szCs w:val="20"/>
      </w:rPr>
      <w:instrText xml:space="preserve"> PAGE   \* MERGEFORMAT </w:instrText>
    </w:r>
    <w:r w:rsidRPr="00972BE1">
      <w:rPr>
        <w:caps/>
        <w:color w:val="4472C4" w:themeColor="accent1"/>
        <w:sz w:val="20"/>
        <w:szCs w:val="20"/>
      </w:rPr>
      <w:fldChar w:fldCharType="separate"/>
    </w:r>
    <w:r>
      <w:rPr>
        <w:caps/>
        <w:noProof/>
        <w:color w:val="4472C4" w:themeColor="accent1"/>
        <w:sz w:val="20"/>
        <w:szCs w:val="20"/>
      </w:rPr>
      <w:t>27</w:t>
    </w:r>
    <w:r w:rsidRPr="00972BE1">
      <w:rPr>
        <w:caps/>
        <w:noProof/>
        <w:color w:val="4472C4" w:themeColor="accent1"/>
        <w:sz w:val="20"/>
        <w:szCs w:val="20"/>
      </w:rPr>
      <w:fldChar w:fldCharType="end"/>
    </w:r>
  </w:p>
  <w:p w14:paraId="779E59B3" w14:textId="77777777" w:rsidR="00D12DC1" w:rsidRDefault="00D12D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CAE3" w14:textId="61337F6E" w:rsidR="00D12DC1" w:rsidRPr="00304C79" w:rsidRDefault="00D12DC1" w:rsidP="00491D1F">
    <w:pP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5451" w14:textId="77777777" w:rsidR="008F66B3" w:rsidRDefault="008F66B3">
      <w:pPr>
        <w:spacing w:after="0" w:line="240" w:lineRule="auto"/>
      </w:pPr>
      <w:r>
        <w:separator/>
      </w:r>
    </w:p>
  </w:footnote>
  <w:footnote w:type="continuationSeparator" w:id="0">
    <w:p w14:paraId="6A34A026" w14:textId="77777777" w:rsidR="008F66B3" w:rsidRDefault="008F66B3">
      <w:pPr>
        <w:spacing w:after="0" w:line="240" w:lineRule="auto"/>
      </w:pPr>
      <w:r>
        <w:continuationSeparator/>
      </w:r>
    </w:p>
  </w:footnote>
  <w:footnote w:id="1">
    <w:p w14:paraId="71DFAD6A" w14:textId="2A9E1FBC" w:rsidR="00D12DC1" w:rsidRPr="009B39EC" w:rsidRDefault="00D12DC1">
      <w:pPr>
        <w:pStyle w:val="FootnoteText"/>
        <w:rPr>
          <w:rFonts w:ascii="Arial" w:hAnsi="Arial" w:cs="Arial"/>
          <w:sz w:val="18"/>
          <w:szCs w:val="18"/>
          <w:lang w:val="en-GB"/>
        </w:rPr>
      </w:pPr>
      <w:r w:rsidRPr="009B39EC">
        <w:rPr>
          <w:rStyle w:val="FootnoteReference"/>
          <w:rFonts w:ascii="Arial" w:hAnsi="Arial" w:cs="Arial"/>
          <w:sz w:val="18"/>
          <w:szCs w:val="18"/>
          <w:lang w:val="en-GB"/>
        </w:rPr>
        <w:footnoteRef/>
      </w:r>
      <w:r w:rsidRPr="009B39EC">
        <w:rPr>
          <w:rFonts w:ascii="Arial" w:hAnsi="Arial" w:cs="Arial"/>
          <w:sz w:val="18"/>
          <w:szCs w:val="18"/>
          <w:lang w:val="en-GB"/>
        </w:rPr>
        <w:t xml:space="preserve"> In accordance with Article 68, paragraph 12, of the Council of Europe Convention on Preventing and Combatting Violence against Women and Domestic Violence and as set out in document IC-</w:t>
      </w:r>
      <w:proofErr w:type="gramStart"/>
      <w:r w:rsidRPr="009B39EC">
        <w:rPr>
          <w:rFonts w:ascii="Arial" w:hAnsi="Arial" w:cs="Arial"/>
          <w:sz w:val="18"/>
          <w:szCs w:val="18"/>
          <w:lang w:val="en-GB"/>
        </w:rPr>
        <w:t>CP(</w:t>
      </w:r>
      <w:proofErr w:type="gramEnd"/>
      <w:r w:rsidRPr="009B39EC">
        <w:rPr>
          <w:rFonts w:ascii="Arial" w:hAnsi="Arial" w:cs="Arial"/>
          <w:sz w:val="18"/>
          <w:szCs w:val="18"/>
          <w:lang w:val="en-GB"/>
        </w:rPr>
        <w:t>2018)6.</w:t>
      </w:r>
    </w:p>
  </w:footnote>
  <w:footnote w:id="2">
    <w:p w14:paraId="4BB60FE2" w14:textId="6AB11209" w:rsidR="00D12DC1" w:rsidRPr="009B39EC" w:rsidRDefault="00D12DC1">
      <w:pPr>
        <w:pStyle w:val="Header"/>
        <w:rPr>
          <w:rFonts w:ascii="Arial" w:hAnsi="Arial" w:cs="Arial"/>
          <w:sz w:val="18"/>
          <w:szCs w:val="18"/>
          <w:lang w:val="en-GB"/>
        </w:rPr>
      </w:pPr>
      <w:r w:rsidRPr="009B39EC">
        <w:rPr>
          <w:rFonts w:ascii="Arial" w:hAnsi="Arial" w:cs="Arial"/>
          <w:sz w:val="18"/>
          <w:szCs w:val="18"/>
          <w:vertAlign w:val="superscript"/>
          <w:lang w:val="en-GB"/>
        </w:rPr>
        <w:footnoteRef/>
      </w:r>
      <w:r w:rsidRPr="009B39EC">
        <w:rPr>
          <w:rFonts w:ascii="Arial" w:hAnsi="Arial" w:cs="Arial"/>
          <w:sz w:val="18"/>
          <w:szCs w:val="18"/>
          <w:vertAlign w:val="superscript"/>
          <w:lang w:val="en-GB"/>
        </w:rPr>
        <w:t xml:space="preserve"> </w:t>
      </w:r>
      <w:r w:rsidRPr="009B39EC">
        <w:rPr>
          <w:rFonts w:ascii="Arial" w:hAnsi="Arial" w:cs="Arial"/>
          <w:i/>
          <w:iCs/>
          <w:sz w:val="18"/>
          <w:szCs w:val="18"/>
          <w:lang w:val="en-GB"/>
        </w:rPr>
        <w:t>See</w:t>
      </w:r>
      <w:r w:rsidRPr="009B39EC">
        <w:rPr>
          <w:rFonts w:ascii="Arial" w:hAnsi="Arial" w:cs="Arial"/>
          <w:sz w:val="18"/>
          <w:szCs w:val="18"/>
          <w:lang w:val="en-GB"/>
        </w:rPr>
        <w:t xml:space="preserve"> </w:t>
      </w:r>
      <w:hyperlink r:id="rId1" w:history="1">
        <w:r w:rsidRPr="009B39EC">
          <w:rPr>
            <w:rStyle w:val="NoSpacingChar"/>
            <w:rFonts w:ascii="Arial" w:hAnsi="Arial" w:cs="Arial"/>
            <w:color w:val="4472C4" w:themeColor="accent1"/>
            <w:sz w:val="18"/>
            <w:szCs w:val="18"/>
            <w:u w:val="single"/>
            <w:lang w:val="en-GB"/>
          </w:rPr>
          <w:t>https://rm.coe.int/grevio-first-baseline-report-on-albania/16807688a7</w:t>
        </w:r>
      </w:hyperlink>
      <w:r w:rsidRPr="009B39EC">
        <w:rPr>
          <w:rFonts w:ascii="Arial" w:hAnsi="Arial" w:cs="Arial"/>
          <w:sz w:val="18"/>
          <w:szCs w:val="18"/>
          <w:lang w:val="en-GB"/>
        </w:rPr>
        <w:t xml:space="preserve"> </w:t>
      </w:r>
      <w:r w:rsidR="009D57F3" w:rsidRPr="009B39EC">
        <w:rPr>
          <w:rFonts w:ascii="Arial" w:hAnsi="Arial" w:cs="Arial"/>
          <w:sz w:val="18"/>
          <w:szCs w:val="18"/>
          <w:lang w:val="en-GB"/>
        </w:rPr>
        <w:t xml:space="preserve"> </w:t>
      </w:r>
    </w:p>
  </w:footnote>
  <w:footnote w:id="3">
    <w:p w14:paraId="7231AF58" w14:textId="18CE7533" w:rsidR="00D12DC1" w:rsidRPr="009B39EC" w:rsidRDefault="00D12DC1">
      <w:pPr>
        <w:pStyle w:val="Header"/>
        <w:rPr>
          <w:rFonts w:ascii="Arial" w:hAnsi="Arial" w:cs="Arial"/>
          <w:sz w:val="18"/>
          <w:szCs w:val="18"/>
          <w:lang w:val="en-GB"/>
        </w:rPr>
      </w:pPr>
      <w:r w:rsidRPr="009B39EC">
        <w:rPr>
          <w:rFonts w:ascii="Arial" w:hAnsi="Arial" w:cs="Arial"/>
          <w:sz w:val="18"/>
          <w:szCs w:val="18"/>
          <w:vertAlign w:val="superscript"/>
          <w:lang w:val="en-GB"/>
        </w:rPr>
        <w:footnoteRef/>
      </w:r>
      <w:r w:rsidRPr="009B39EC">
        <w:rPr>
          <w:rFonts w:ascii="Arial" w:hAnsi="Arial" w:cs="Arial"/>
          <w:sz w:val="18"/>
          <w:szCs w:val="18"/>
          <w:vertAlign w:val="superscript"/>
          <w:lang w:val="en-GB"/>
        </w:rPr>
        <w:t xml:space="preserve"> </w:t>
      </w:r>
      <w:r w:rsidRPr="009B39EC">
        <w:rPr>
          <w:rFonts w:ascii="Arial" w:hAnsi="Arial" w:cs="Arial"/>
          <w:sz w:val="18"/>
          <w:szCs w:val="18"/>
          <w:lang w:val="en-GB"/>
        </w:rPr>
        <w:t>As set out in document IC-CP/</w:t>
      </w:r>
      <w:proofErr w:type="gramStart"/>
      <w:r w:rsidRPr="009B39EC">
        <w:rPr>
          <w:rFonts w:ascii="Arial" w:hAnsi="Arial" w:cs="Arial"/>
          <w:sz w:val="18"/>
          <w:szCs w:val="18"/>
          <w:lang w:val="en-GB"/>
        </w:rPr>
        <w:t>Inf(</w:t>
      </w:r>
      <w:proofErr w:type="gramEnd"/>
      <w:r w:rsidRPr="009B39EC">
        <w:rPr>
          <w:rFonts w:ascii="Arial" w:hAnsi="Arial" w:cs="Arial"/>
          <w:sz w:val="18"/>
          <w:szCs w:val="18"/>
          <w:lang w:val="en-GB"/>
        </w:rPr>
        <w:t xml:space="preserve">2018)3. </w:t>
      </w:r>
    </w:p>
  </w:footnote>
  <w:footnote w:id="4">
    <w:p w14:paraId="3F120EDF" w14:textId="4372D315" w:rsidR="00D12DC1" w:rsidRPr="009B39EC" w:rsidRDefault="00D12DC1">
      <w:pPr>
        <w:pStyle w:val="Header"/>
        <w:rPr>
          <w:rFonts w:ascii="Arial" w:hAnsi="Arial" w:cs="Arial"/>
          <w:sz w:val="18"/>
          <w:szCs w:val="18"/>
          <w:lang w:val="en-GB"/>
        </w:rPr>
      </w:pPr>
      <w:r w:rsidRPr="009B39EC">
        <w:rPr>
          <w:rFonts w:ascii="Arial" w:hAnsi="Arial" w:cs="Arial"/>
          <w:sz w:val="18"/>
          <w:szCs w:val="18"/>
          <w:vertAlign w:val="superscript"/>
          <w:lang w:val="en-GB"/>
        </w:rPr>
        <w:footnoteRef/>
      </w:r>
      <w:r w:rsidRPr="009B39EC">
        <w:rPr>
          <w:rFonts w:ascii="Arial" w:hAnsi="Arial" w:cs="Arial"/>
          <w:sz w:val="18"/>
          <w:szCs w:val="18"/>
          <w:vertAlign w:val="superscript"/>
          <w:lang w:val="en-GB"/>
        </w:rPr>
        <w:t xml:space="preserve"> </w:t>
      </w:r>
      <w:r w:rsidRPr="009B39EC">
        <w:rPr>
          <w:rFonts w:ascii="Arial" w:hAnsi="Arial" w:cs="Arial"/>
          <w:sz w:val="18"/>
          <w:szCs w:val="18"/>
          <w:lang w:val="en-GB"/>
        </w:rPr>
        <w:t>In conjunction with the standard reporting form, as described in document IC-</w:t>
      </w:r>
      <w:proofErr w:type="gramStart"/>
      <w:r w:rsidRPr="009B39EC">
        <w:rPr>
          <w:rFonts w:ascii="Arial" w:hAnsi="Arial" w:cs="Arial"/>
          <w:sz w:val="18"/>
          <w:szCs w:val="18"/>
          <w:lang w:val="en-GB"/>
        </w:rPr>
        <w:t>CP(</w:t>
      </w:r>
      <w:proofErr w:type="gramEnd"/>
      <w:r w:rsidRPr="009B39EC">
        <w:rPr>
          <w:rFonts w:ascii="Arial" w:hAnsi="Arial" w:cs="Arial"/>
          <w:sz w:val="18"/>
          <w:szCs w:val="18"/>
          <w:lang w:val="en-GB"/>
        </w:rPr>
        <w:t>2020)12 rev.</w:t>
      </w:r>
    </w:p>
  </w:footnote>
  <w:footnote w:id="5">
    <w:p w14:paraId="65DDEAAD" w14:textId="33AA87C1" w:rsidR="00D12DC1" w:rsidRPr="00963437" w:rsidRDefault="00D12DC1" w:rsidP="00C82C2C">
      <w:pPr>
        <w:pStyle w:val="Header"/>
        <w:jc w:val="both"/>
        <w:rPr>
          <w:rFonts w:asciiTheme="majorHAnsi" w:hAnsiTheme="majorHAnsi" w:cstheme="majorHAnsi"/>
          <w:lang w:val="en-GB"/>
        </w:rPr>
      </w:pPr>
      <w:r w:rsidRPr="009B39EC">
        <w:rPr>
          <w:rFonts w:ascii="Arial" w:hAnsi="Arial" w:cs="Arial"/>
          <w:sz w:val="18"/>
          <w:szCs w:val="18"/>
          <w:vertAlign w:val="superscript"/>
          <w:lang w:val="en-GB"/>
        </w:rPr>
        <w:footnoteRef/>
      </w:r>
      <w:r w:rsidRPr="009B39EC">
        <w:rPr>
          <w:rFonts w:ascii="Arial" w:hAnsi="Arial" w:cs="Arial"/>
          <w:sz w:val="18"/>
          <w:szCs w:val="18"/>
          <w:vertAlign w:val="superscript"/>
          <w:lang w:val="en-GB"/>
        </w:rPr>
        <w:t xml:space="preserve"> </w:t>
      </w:r>
      <w:r w:rsidRPr="009B39EC">
        <w:rPr>
          <w:rFonts w:ascii="Arial" w:hAnsi="Arial" w:cs="Arial"/>
          <w:sz w:val="18"/>
          <w:szCs w:val="18"/>
          <w:lang w:val="en-GB"/>
        </w:rPr>
        <w:t xml:space="preserve">Only in the period February-May 2021, seven consultative roundtables were organised in the framework of the evaluation of the implementation of the 2016-2020 National Strategy on Gender Equality and the drafting of the new 2021-2030 National Strategy on Gender Equality, which were attended by around 130 participants. In addition, written contributions were submitted by 19 central and local institutions, 18 civil society organisation and 11 international organisations. These were in addition to the responses in writing sent in by </w:t>
      </w:r>
      <w:r w:rsidR="009D57F3" w:rsidRPr="009B39EC">
        <w:rPr>
          <w:rFonts w:ascii="Arial" w:hAnsi="Arial" w:cs="Arial"/>
          <w:sz w:val="18"/>
          <w:szCs w:val="18"/>
          <w:lang w:val="en-GB"/>
        </w:rPr>
        <w:t xml:space="preserve">18 </w:t>
      </w:r>
      <w:r w:rsidRPr="009B39EC">
        <w:rPr>
          <w:rFonts w:ascii="Arial" w:hAnsi="Arial" w:cs="Arial"/>
          <w:sz w:val="18"/>
          <w:szCs w:val="18"/>
          <w:lang w:val="en-GB"/>
        </w:rPr>
        <w:t xml:space="preserve">central, </w:t>
      </w:r>
      <w:proofErr w:type="gramStart"/>
      <w:r w:rsidRPr="009B39EC">
        <w:rPr>
          <w:rFonts w:ascii="Arial" w:hAnsi="Arial" w:cs="Arial"/>
          <w:sz w:val="18"/>
          <w:szCs w:val="18"/>
          <w:lang w:val="en-GB"/>
        </w:rPr>
        <w:t>local</w:t>
      </w:r>
      <w:proofErr w:type="gramEnd"/>
      <w:r w:rsidRPr="009B39EC">
        <w:rPr>
          <w:rFonts w:ascii="Arial" w:hAnsi="Arial" w:cs="Arial"/>
          <w:sz w:val="18"/>
          <w:szCs w:val="18"/>
          <w:lang w:val="en-GB"/>
        </w:rPr>
        <w:t xml:space="preserve"> and independent institutions for the preparation of this report on the implementation of the recommendations addressed to State Parties by the Committee of the Parties.</w:t>
      </w:r>
      <w:r w:rsidRPr="00963437">
        <w:rPr>
          <w:rFonts w:asciiTheme="majorHAnsi" w:hAnsiTheme="majorHAnsi" w:cstheme="majorHAnsi"/>
          <w:lang w:val="en-GB"/>
        </w:rPr>
        <w:t xml:space="preserve"> </w:t>
      </w:r>
    </w:p>
  </w:footnote>
  <w:footnote w:id="6">
    <w:p w14:paraId="3F376481" w14:textId="5ADAA171" w:rsidR="00D12DC1" w:rsidRPr="00963437" w:rsidRDefault="00D12DC1">
      <w:pPr>
        <w:pStyle w:val="FootnoteText"/>
        <w:rPr>
          <w:rFonts w:asciiTheme="majorHAnsi" w:hAnsiTheme="majorHAnsi" w:cstheme="majorHAnsi"/>
          <w:sz w:val="18"/>
          <w:szCs w:val="18"/>
          <w:lang w:val="en-GB"/>
        </w:rPr>
      </w:pPr>
      <w:r w:rsidRPr="00963437">
        <w:rPr>
          <w:rStyle w:val="FootnoteReference"/>
          <w:rFonts w:asciiTheme="majorHAnsi" w:hAnsiTheme="majorHAnsi" w:cstheme="majorHAnsi"/>
          <w:sz w:val="18"/>
          <w:szCs w:val="18"/>
          <w:lang w:val="en-GB"/>
        </w:rPr>
        <w:footnoteRef/>
      </w:r>
      <w:r w:rsidRPr="00963437">
        <w:rPr>
          <w:rFonts w:asciiTheme="majorHAnsi" w:hAnsiTheme="majorHAnsi" w:cstheme="majorHAnsi"/>
          <w:sz w:val="18"/>
          <w:szCs w:val="18"/>
          <w:lang w:val="en-GB"/>
        </w:rPr>
        <w:t xml:space="preserve"> “Qendra e Këshillimit për Gra dhe Vajza” (Counselling centre for women and girls) Tirana, “Mbrojtja e të drejtave të gruas qytetare dhe fshatare” (Protection of the rights of urban and rural women) Berat, “Qendra e shërbimeve dhe praktikave ligjore të integruara” (Centre for integrated legal services and practices),  Tirana, “Intelektualët e rinj shpresë” (Young intellectuals – Hope), Shkodra, “Qendra për Mbrojtjen e të Drejtave të Fëmijëve në Shqipëri” (Centre for the Protection of Children’s Rights, Albania – CRCA, “Forumi i Gruas” (Women’s Forum) Elbasan, Shërbimi Ligjor Falas TLAS (Tirana Legal Aid Service), Tirana, “</w:t>
      </w:r>
      <w:proofErr w:type="spellStart"/>
      <w:r w:rsidRPr="00963437">
        <w:rPr>
          <w:rFonts w:asciiTheme="majorHAnsi" w:hAnsiTheme="majorHAnsi" w:cstheme="majorHAnsi"/>
          <w:sz w:val="18"/>
          <w:szCs w:val="18"/>
          <w:lang w:val="en-GB"/>
        </w:rPr>
        <w:t>Të</w:t>
      </w:r>
      <w:proofErr w:type="spellEnd"/>
      <w:r w:rsidRPr="00963437">
        <w:rPr>
          <w:rFonts w:asciiTheme="majorHAnsi" w:hAnsiTheme="majorHAnsi" w:cstheme="majorHAnsi"/>
          <w:sz w:val="18"/>
          <w:szCs w:val="18"/>
          <w:lang w:val="en-GB"/>
        </w:rPr>
        <w:t xml:space="preserve"> </w:t>
      </w:r>
      <w:proofErr w:type="spellStart"/>
      <w:r w:rsidRPr="00963437">
        <w:rPr>
          <w:rFonts w:asciiTheme="majorHAnsi" w:hAnsiTheme="majorHAnsi" w:cstheme="majorHAnsi"/>
          <w:sz w:val="18"/>
          <w:szCs w:val="18"/>
          <w:lang w:val="en-GB"/>
        </w:rPr>
        <w:t>ndryshëm</w:t>
      </w:r>
      <w:proofErr w:type="spellEnd"/>
      <w:r w:rsidRPr="00963437">
        <w:rPr>
          <w:rFonts w:asciiTheme="majorHAnsi" w:hAnsiTheme="majorHAnsi" w:cstheme="majorHAnsi"/>
          <w:sz w:val="18"/>
          <w:szCs w:val="18"/>
          <w:lang w:val="en-GB"/>
        </w:rPr>
        <w:t xml:space="preserve"> </w:t>
      </w:r>
      <w:proofErr w:type="spellStart"/>
      <w:r w:rsidRPr="00963437">
        <w:rPr>
          <w:rFonts w:asciiTheme="majorHAnsi" w:hAnsiTheme="majorHAnsi" w:cstheme="majorHAnsi"/>
          <w:sz w:val="18"/>
          <w:szCs w:val="18"/>
          <w:lang w:val="en-GB"/>
        </w:rPr>
        <w:t>dhe</w:t>
      </w:r>
      <w:proofErr w:type="spellEnd"/>
      <w:r w:rsidRPr="00963437">
        <w:rPr>
          <w:rFonts w:asciiTheme="majorHAnsi" w:hAnsiTheme="majorHAnsi" w:cstheme="majorHAnsi"/>
          <w:sz w:val="18"/>
          <w:szCs w:val="18"/>
          <w:lang w:val="en-GB"/>
        </w:rPr>
        <w:t xml:space="preserve"> </w:t>
      </w:r>
      <w:proofErr w:type="spellStart"/>
      <w:r w:rsidRPr="00963437">
        <w:rPr>
          <w:rFonts w:asciiTheme="majorHAnsi" w:hAnsiTheme="majorHAnsi" w:cstheme="majorHAnsi"/>
          <w:sz w:val="18"/>
          <w:szCs w:val="18"/>
          <w:lang w:val="en-GB"/>
        </w:rPr>
        <w:t>të</w:t>
      </w:r>
      <w:proofErr w:type="spellEnd"/>
      <w:r w:rsidRPr="00963437">
        <w:rPr>
          <w:rFonts w:asciiTheme="majorHAnsi" w:hAnsiTheme="majorHAnsi" w:cstheme="majorHAnsi"/>
          <w:sz w:val="18"/>
          <w:szCs w:val="18"/>
          <w:lang w:val="en-GB"/>
        </w:rPr>
        <w:t xml:space="preserve"> </w:t>
      </w:r>
      <w:proofErr w:type="spellStart"/>
      <w:r w:rsidRPr="00963437">
        <w:rPr>
          <w:rFonts w:asciiTheme="majorHAnsi" w:hAnsiTheme="majorHAnsi" w:cstheme="majorHAnsi"/>
          <w:sz w:val="18"/>
          <w:szCs w:val="18"/>
          <w:lang w:val="en-GB"/>
        </w:rPr>
        <w:t>barabartë</w:t>
      </w:r>
      <w:proofErr w:type="spellEnd"/>
      <w:r w:rsidRPr="00963437">
        <w:rPr>
          <w:rFonts w:asciiTheme="majorHAnsi" w:hAnsiTheme="majorHAnsi" w:cstheme="majorHAnsi"/>
          <w:sz w:val="18"/>
          <w:szCs w:val="18"/>
          <w:lang w:val="en-GB"/>
        </w:rPr>
        <w:t xml:space="preserve">” (Different </w:t>
      </w:r>
      <w:r w:rsidR="00B86195">
        <w:rPr>
          <w:rFonts w:asciiTheme="majorHAnsi" w:hAnsiTheme="majorHAnsi" w:cstheme="majorHAnsi"/>
          <w:sz w:val="18"/>
          <w:szCs w:val="18"/>
          <w:lang w:val="en-GB"/>
        </w:rPr>
        <w:t>&amp; E</w:t>
      </w:r>
      <w:r w:rsidRPr="00963437">
        <w:rPr>
          <w:rFonts w:asciiTheme="majorHAnsi" w:hAnsiTheme="majorHAnsi" w:cstheme="majorHAnsi"/>
          <w:sz w:val="18"/>
          <w:szCs w:val="18"/>
          <w:lang w:val="en-GB"/>
        </w:rPr>
        <w:t>qual), Tirana, “Albanian Legal and Territorial Institute – ALTRI”, Tirana, “Qendra për Nisma Ligjore Qytetare” (Centre for Civic Legal Initiatives), Tirana, “Shërbimet shqiptare për refugjatët dhe migrantët” (Albanian services for refugees and migrants), Tirana, and “Qendra Konsumatori Shqiptar” (Albanian Consumer Centre, Durrës.</w:t>
      </w:r>
    </w:p>
  </w:footnote>
  <w:footnote w:id="7">
    <w:p w14:paraId="6F13BF28" w14:textId="75CCF2AE" w:rsidR="00D12DC1" w:rsidRPr="00963437" w:rsidRDefault="00D12DC1">
      <w:pPr>
        <w:pStyle w:val="FootnoteText"/>
        <w:rPr>
          <w:rFonts w:asciiTheme="majorHAnsi" w:hAnsiTheme="majorHAnsi" w:cstheme="majorHAnsi"/>
          <w:lang w:val="en-GB"/>
        </w:rPr>
      </w:pPr>
      <w:r w:rsidRPr="00963437">
        <w:rPr>
          <w:rStyle w:val="FootnoteReference"/>
          <w:rFonts w:asciiTheme="majorHAnsi" w:hAnsiTheme="majorHAnsi" w:cstheme="majorHAnsi"/>
          <w:lang w:val="en-GB"/>
        </w:rPr>
        <w:footnoteRef/>
      </w:r>
      <w:r w:rsidRPr="00963437">
        <w:rPr>
          <w:rFonts w:asciiTheme="majorHAnsi" w:hAnsiTheme="majorHAnsi" w:cstheme="majorHAnsi"/>
          <w:lang w:val="en-GB"/>
        </w:rPr>
        <w:t xml:space="preserve"> This publication is available at</w:t>
      </w:r>
      <w:r w:rsidRPr="00963437">
        <w:rPr>
          <w:rFonts w:asciiTheme="majorHAnsi" w:hAnsiTheme="majorHAnsi" w:cstheme="majorHAnsi"/>
          <w:sz w:val="18"/>
          <w:szCs w:val="18"/>
          <w:lang w:val="en-GB"/>
        </w:rPr>
        <w:t xml:space="preserve">: </w:t>
      </w:r>
      <w:hyperlink r:id="rId2" w:history="1">
        <w:r w:rsidRPr="00963437">
          <w:rPr>
            <w:rStyle w:val="Hyperlink"/>
            <w:rFonts w:asciiTheme="majorHAnsi" w:hAnsiTheme="majorHAnsi" w:cstheme="majorHAnsi"/>
            <w:sz w:val="18"/>
            <w:szCs w:val="18"/>
            <w:lang w:val="en-GB"/>
          </w:rPr>
          <w:t>http://www.instat.gov.al/media/6123/publication-violence-against-women.pdf</w:t>
        </w:r>
      </w:hyperlink>
      <w:r w:rsidRPr="00963437">
        <w:rPr>
          <w:rFonts w:asciiTheme="majorHAnsi" w:hAnsiTheme="majorHAnsi" w:cstheme="majorHAnsi"/>
          <w:lang w:val="en-GB"/>
        </w:rPr>
        <w:t xml:space="preserve"> </w:t>
      </w:r>
    </w:p>
  </w:footnote>
  <w:footnote w:id="8">
    <w:p w14:paraId="76AB4D9F" w14:textId="64896C15" w:rsidR="00D12DC1" w:rsidRPr="00963437" w:rsidRDefault="00D12DC1">
      <w:pPr>
        <w:pStyle w:val="FootnoteText"/>
        <w:rPr>
          <w:rFonts w:asciiTheme="majorHAnsi" w:hAnsiTheme="majorHAnsi" w:cstheme="majorHAnsi"/>
          <w:sz w:val="18"/>
          <w:szCs w:val="18"/>
          <w:lang w:val="en-GB"/>
        </w:rPr>
      </w:pPr>
      <w:r w:rsidRPr="00963437">
        <w:rPr>
          <w:rStyle w:val="FootnoteReference"/>
          <w:rFonts w:asciiTheme="majorHAnsi" w:hAnsiTheme="majorHAnsi" w:cstheme="majorHAnsi"/>
          <w:sz w:val="18"/>
          <w:szCs w:val="18"/>
          <w:lang w:val="en-GB"/>
        </w:rPr>
        <w:footnoteRef/>
      </w:r>
      <w:r w:rsidRPr="00963437">
        <w:rPr>
          <w:rFonts w:asciiTheme="majorHAnsi" w:hAnsiTheme="majorHAnsi" w:cstheme="majorHAnsi"/>
          <w:sz w:val="18"/>
          <w:szCs w:val="18"/>
          <w:lang w:val="en-GB"/>
        </w:rPr>
        <w:t xml:space="preserve"> The data are available at: </w:t>
      </w:r>
      <w:hyperlink r:id="rId3" w:history="1">
        <w:r w:rsidRPr="00963437">
          <w:rPr>
            <w:rStyle w:val="Hyperlink"/>
            <w:rFonts w:asciiTheme="majorHAnsi" w:hAnsiTheme="majorHAnsi" w:cstheme="majorHAnsi"/>
            <w:sz w:val="18"/>
            <w:szCs w:val="18"/>
            <w:lang w:val="en-GB"/>
          </w:rPr>
          <w:t>http://databaza.instat.gov.al/pxweb/en/DST/?rxid=39215f95-a5cb-4284-982c-b7fdec668c08</w:t>
        </w:r>
      </w:hyperlink>
      <w:r w:rsidRPr="00963437">
        <w:rPr>
          <w:rFonts w:asciiTheme="majorHAnsi" w:hAnsiTheme="majorHAnsi" w:cstheme="majorHAnsi"/>
          <w:sz w:val="18"/>
          <w:szCs w:val="18"/>
          <w:lang w:val="en-GB"/>
        </w:rPr>
        <w:t xml:space="preserve"> </w:t>
      </w:r>
    </w:p>
  </w:footnote>
  <w:footnote w:id="9">
    <w:p w14:paraId="2951F6AB" w14:textId="680A58D6" w:rsidR="00D12DC1" w:rsidRPr="00963437" w:rsidRDefault="00D12DC1">
      <w:pPr>
        <w:pStyle w:val="FootnoteText"/>
        <w:rPr>
          <w:rFonts w:asciiTheme="majorHAnsi" w:hAnsiTheme="majorHAnsi" w:cstheme="majorHAnsi"/>
          <w:lang w:val="en-GB"/>
        </w:rPr>
      </w:pPr>
      <w:r w:rsidRPr="00963437">
        <w:rPr>
          <w:rStyle w:val="FootnoteReference"/>
          <w:rFonts w:asciiTheme="majorHAnsi" w:hAnsiTheme="majorHAnsi" w:cstheme="majorHAnsi"/>
          <w:lang w:val="en-GB"/>
        </w:rPr>
        <w:footnoteRef/>
      </w:r>
      <w:r w:rsidRPr="00963437">
        <w:rPr>
          <w:rFonts w:asciiTheme="majorHAnsi" w:hAnsiTheme="majorHAnsi" w:cstheme="majorHAnsi"/>
          <w:lang w:val="en-GB"/>
        </w:rPr>
        <w:t xml:space="preserve"> This publication is available at</w:t>
      </w:r>
      <w:r w:rsidRPr="00963437">
        <w:rPr>
          <w:rFonts w:asciiTheme="majorHAnsi" w:hAnsiTheme="majorHAnsi" w:cstheme="majorHAnsi"/>
          <w:sz w:val="18"/>
          <w:szCs w:val="18"/>
          <w:lang w:val="en-GB"/>
        </w:rPr>
        <w:t xml:space="preserve">: </w:t>
      </w:r>
      <w:hyperlink r:id="rId4" w:history="1">
        <w:r w:rsidRPr="00963437">
          <w:rPr>
            <w:rStyle w:val="Hyperlink"/>
            <w:rFonts w:asciiTheme="majorHAnsi" w:hAnsiTheme="majorHAnsi" w:cstheme="majorHAnsi"/>
            <w:sz w:val="18"/>
            <w:szCs w:val="18"/>
            <w:lang w:val="en-GB"/>
          </w:rPr>
          <w:t>http://www.instat.gov.al/media/7376/burra-dhe-gra-2020.pdf</w:t>
        </w:r>
      </w:hyperlink>
      <w:r w:rsidRPr="00963437">
        <w:rPr>
          <w:rFonts w:asciiTheme="majorHAnsi" w:hAnsiTheme="majorHAnsi" w:cstheme="majorHAns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7BF8" w14:textId="77777777" w:rsidR="00D12DC1" w:rsidRPr="004152BC" w:rsidRDefault="00D12DC1" w:rsidP="00491D1F">
    <w:pPr>
      <w:tabs>
        <w:tab w:val="right" w:pos="8789"/>
      </w:tabs>
      <w:rPr>
        <w:rFonts w:ascii="Arial" w:hAnsi="Arial" w:cs="Arial"/>
        <w:sz w:val="18"/>
        <w:szCs w:val="18"/>
      </w:rPr>
    </w:pPr>
    <w:r w:rsidRPr="004152BC">
      <w:rPr>
        <w:rFonts w:ascii="Arial" w:hAnsi="Arial" w:cs="Arial"/>
        <w:sz w:val="18"/>
        <w:szCs w:val="18"/>
      </w:rPr>
      <w:t>IC-CP(2020)12 prov</w:t>
    </w:r>
    <w:sdt>
      <w:sdtPr>
        <w:rPr>
          <w:rFonts w:ascii="Arial" w:hAnsi="Arial" w:cs="Arial"/>
          <w:sz w:val="18"/>
          <w:szCs w:val="18"/>
        </w:rPr>
        <w:id w:val="-1984920488"/>
        <w:docPartObj>
          <w:docPartGallery w:val="Page Numbers (Top of Page)"/>
          <w:docPartUnique/>
        </w:docPartObj>
      </w:sdtPr>
      <w:sdtEndPr/>
      <w:sdtContent>
        <w:r>
          <w:rPr>
            <w:rFonts w:ascii="Arial" w:hAnsi="Arial" w:cs="Arial"/>
            <w:sz w:val="18"/>
            <w:szCs w:val="18"/>
          </w:rPr>
          <w:tab/>
        </w:r>
        <w:r>
          <w:rPr>
            <w:rFonts w:ascii="Arial" w:hAnsi="Arial" w:cs="Arial"/>
            <w:sz w:val="18"/>
            <w:szCs w:val="18"/>
          </w:rPr>
          <w:tab/>
        </w:r>
        <w:r w:rsidRPr="004152BC">
          <w:rPr>
            <w:rFonts w:ascii="Arial" w:hAnsi="Arial" w:cs="Arial"/>
            <w:sz w:val="18"/>
            <w:szCs w:val="18"/>
          </w:rPr>
          <w:fldChar w:fldCharType="begin"/>
        </w:r>
        <w:r w:rsidRPr="004152BC">
          <w:rPr>
            <w:rFonts w:ascii="Arial" w:hAnsi="Arial" w:cs="Arial"/>
            <w:sz w:val="18"/>
            <w:szCs w:val="18"/>
          </w:rPr>
          <w:instrText>PAGE   \* MERGEFORMAT</w:instrText>
        </w:r>
        <w:r w:rsidRPr="004152BC">
          <w:rPr>
            <w:rFonts w:ascii="Arial" w:hAnsi="Arial" w:cs="Arial"/>
            <w:sz w:val="18"/>
            <w:szCs w:val="18"/>
          </w:rPr>
          <w:fldChar w:fldCharType="separate"/>
        </w:r>
        <w:r w:rsidRPr="004152BC">
          <w:rPr>
            <w:rFonts w:ascii="Arial" w:hAnsi="Arial" w:cs="Arial"/>
            <w:sz w:val="18"/>
            <w:szCs w:val="18"/>
            <w:lang w:val="fr-FR"/>
          </w:rPr>
          <w:t>2</w:t>
        </w:r>
        <w:r w:rsidRPr="004152BC">
          <w:rPr>
            <w:rFonts w:ascii="Arial" w:hAnsi="Arial" w:cs="Arial"/>
            <w:sz w:val="18"/>
            <w:szCs w:val="18"/>
          </w:rPr>
          <w:fldChar w:fldCharType="end"/>
        </w:r>
      </w:sdtContent>
    </w:sdt>
  </w:p>
  <w:p w14:paraId="7DD8A225" w14:textId="77777777" w:rsidR="00D12DC1" w:rsidRDefault="00D12DC1">
    <w:pPr>
      <w:rPr>
        <w:rFonts w:ascii="Arial" w:hAnsi="Arial" w:cs="Arial"/>
        <w:sz w:val="18"/>
        <w:szCs w:val="18"/>
      </w:rPr>
    </w:pPr>
    <w:r w:rsidRPr="004152BC">
      <w:rPr>
        <w:rFonts w:ascii="Arial" w:hAnsi="Arial" w:cs="Arial"/>
        <w:sz w:val="18"/>
        <w:szCs w:val="18"/>
      </w:rPr>
      <w:t>Confidential</w:t>
    </w:r>
  </w:p>
  <w:p w14:paraId="7AD16976" w14:textId="77777777" w:rsidR="00D12DC1" w:rsidRDefault="00D12DC1">
    <w:pPr>
      <w:rPr>
        <w:rFonts w:ascii="Arial" w:hAnsi="Arial" w:cs="Arial"/>
        <w:sz w:val="18"/>
        <w:szCs w:val="18"/>
      </w:rPr>
    </w:pPr>
    <w:r>
      <w:rPr>
        <w:rFonts w:ascii="Arial" w:hAnsi="Arial" w:cs="Arial"/>
        <w:sz w:val="18"/>
        <w:szCs w:val="18"/>
      </w:rPr>
      <w:t>__________________________________________________________________________________________</w:t>
    </w:r>
  </w:p>
  <w:p w14:paraId="4EC7D62B" w14:textId="77777777" w:rsidR="00D12DC1" w:rsidRPr="004152BC" w:rsidRDefault="00D12DC1">
    <w:p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lang w:val="en-GB"/>
      </w:rPr>
      <w:id w:val="1524432449"/>
      <w:docPartObj>
        <w:docPartGallery w:val="Page Numbers (Top of Page)"/>
        <w:docPartUnique/>
      </w:docPartObj>
    </w:sdtPr>
    <w:sdtEndPr/>
    <w:sdtContent>
      <w:p w14:paraId="0BD3534B" w14:textId="2C48D19D" w:rsidR="00D12DC1" w:rsidRPr="006D66D8" w:rsidRDefault="00D12DC1" w:rsidP="00E93F84">
        <w:pPr>
          <w:tabs>
            <w:tab w:val="right" w:pos="14004"/>
          </w:tabs>
          <w:spacing w:after="0" w:line="240" w:lineRule="auto"/>
          <w:jc w:val="center"/>
          <w:rPr>
            <w:rFonts w:ascii="Arial" w:hAnsi="Arial" w:cs="Arial"/>
            <w:i/>
            <w:iCs/>
            <w:color w:val="4472C4" w:themeColor="accent1"/>
            <w:sz w:val="16"/>
            <w:szCs w:val="16"/>
            <w:lang w:val="en-GB"/>
          </w:rPr>
        </w:pPr>
        <w:r w:rsidRPr="006D66D8">
          <w:rPr>
            <w:rFonts w:ascii="Arial" w:hAnsi="Arial" w:cs="Arial"/>
            <w:i/>
            <w:iCs/>
            <w:sz w:val="16"/>
            <w:szCs w:val="16"/>
            <w:lang w:val="en-GB"/>
          </w:rPr>
          <w:t xml:space="preserve"> </w:t>
        </w:r>
        <w:r w:rsidRPr="006D66D8">
          <w:rPr>
            <w:rFonts w:ascii="Arial" w:hAnsi="Arial" w:cs="Arial"/>
            <w:i/>
            <w:iCs/>
            <w:color w:val="4472C4" w:themeColor="accent1"/>
            <w:sz w:val="16"/>
            <w:szCs w:val="16"/>
            <w:lang w:val="en-GB"/>
          </w:rPr>
          <w:t xml:space="preserve">Albania: Implementation of the Recommendations </w:t>
        </w:r>
        <w:r>
          <w:rPr>
            <w:rFonts w:ascii="Arial" w:hAnsi="Arial" w:cs="Arial"/>
            <w:i/>
            <w:iCs/>
            <w:color w:val="4472C4" w:themeColor="accent1"/>
            <w:sz w:val="16"/>
            <w:szCs w:val="16"/>
            <w:lang w:val="en-GB"/>
          </w:rPr>
          <w:t xml:space="preserve">addressed </w:t>
        </w:r>
        <w:r w:rsidRPr="006D66D8">
          <w:rPr>
            <w:rFonts w:ascii="Arial" w:hAnsi="Arial" w:cs="Arial"/>
            <w:i/>
            <w:iCs/>
            <w:color w:val="4472C4" w:themeColor="accent1"/>
            <w:sz w:val="16"/>
            <w:szCs w:val="16"/>
            <w:lang w:val="en-GB"/>
          </w:rPr>
          <w:t>by the Committee of Parties 2018-2020</w:t>
        </w:r>
      </w:p>
      <w:p w14:paraId="5B6FCDD1" w14:textId="7AE81079" w:rsidR="00D12DC1" w:rsidRPr="006D66D8" w:rsidRDefault="00D12DC1" w:rsidP="00E93F84">
        <w:pPr>
          <w:tabs>
            <w:tab w:val="right" w:pos="14004"/>
          </w:tabs>
          <w:spacing w:after="0" w:line="240" w:lineRule="auto"/>
          <w:jc w:val="center"/>
          <w:rPr>
            <w:rFonts w:ascii="Arial" w:hAnsi="Arial" w:cs="Arial"/>
            <w:i/>
            <w:iCs/>
            <w:sz w:val="16"/>
            <w:szCs w:val="16"/>
            <w:lang w:val="en-GB"/>
          </w:rPr>
        </w:pPr>
        <w:r w:rsidRPr="006D66D8">
          <w:rPr>
            <w:rFonts w:ascii="Arial" w:hAnsi="Arial" w:cs="Arial"/>
            <w:i/>
            <w:iCs/>
            <w:color w:val="4472C4" w:themeColor="accent1"/>
            <w:sz w:val="16"/>
            <w:szCs w:val="16"/>
            <w:lang w:val="en-GB"/>
          </w:rPr>
          <w:t>Submitted on 30 June 2021</w:t>
        </w:r>
      </w:p>
    </w:sdtContent>
  </w:sdt>
  <w:p w14:paraId="3424AA6B" w14:textId="77777777" w:rsidR="00D12DC1" w:rsidRDefault="00D12DC1" w:rsidP="00491D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122"/>
    <w:multiLevelType w:val="hybridMultilevel"/>
    <w:tmpl w:val="B3425866"/>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735D1"/>
    <w:multiLevelType w:val="multilevel"/>
    <w:tmpl w:val="27C03516"/>
    <w:lvl w:ilvl="0">
      <w:start w:val="1"/>
      <w:numFmt w:val="decimal"/>
      <w:pStyle w:val="Heading3"/>
      <w:lvlText w:val="%1."/>
      <w:lvlJc w:val="left"/>
      <w:pPr>
        <w:ind w:left="360" w:hanging="360"/>
      </w:pPr>
      <w:rPr>
        <w:rFonts w:hint="default"/>
      </w:rPr>
    </w:lvl>
    <w:lvl w:ilvl="1">
      <w:start w:val="1"/>
      <w:numFmt w:val="decimal"/>
      <w:pStyle w:val="Heading4"/>
      <w:isLgl/>
      <w:lvlText w:val="%1.%2"/>
      <w:lvlJc w:val="left"/>
      <w:pPr>
        <w:ind w:left="2700" w:hanging="360"/>
      </w:pPr>
      <w:rPr>
        <w:rFonts w:hint="default"/>
      </w:rPr>
    </w:lvl>
    <w:lvl w:ilvl="2">
      <w:start w:val="1"/>
      <w:numFmt w:val="decimal"/>
      <w:pStyle w:val="Heading5"/>
      <w:isLgl/>
      <w:lvlText w:val="%1.%2.%3"/>
      <w:lvlJc w:val="left"/>
      <w:pPr>
        <w:ind w:left="189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0524086"/>
    <w:multiLevelType w:val="hybridMultilevel"/>
    <w:tmpl w:val="4B904AEE"/>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6123"/>
    <w:multiLevelType w:val="multilevel"/>
    <w:tmpl w:val="9E40964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96024B"/>
    <w:multiLevelType w:val="hybridMultilevel"/>
    <w:tmpl w:val="4EF69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E6DD2"/>
    <w:multiLevelType w:val="hybridMultilevel"/>
    <w:tmpl w:val="15B05762"/>
    <w:lvl w:ilvl="0" w:tplc="FCEEDC5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F460762"/>
    <w:multiLevelType w:val="hybridMultilevel"/>
    <w:tmpl w:val="EBA4B02C"/>
    <w:lvl w:ilvl="0" w:tplc="AEA0D1D8">
      <w:start w:val="3"/>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37D24D4"/>
    <w:multiLevelType w:val="multilevel"/>
    <w:tmpl w:val="925437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83061C"/>
    <w:multiLevelType w:val="hybridMultilevel"/>
    <w:tmpl w:val="2CE21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E5486"/>
    <w:multiLevelType w:val="hybridMultilevel"/>
    <w:tmpl w:val="0FC8E2B8"/>
    <w:lvl w:ilvl="0" w:tplc="4DF66F24">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C9D3FDC"/>
    <w:multiLevelType w:val="hybridMultilevel"/>
    <w:tmpl w:val="CFAA65E2"/>
    <w:lvl w:ilvl="0" w:tplc="5D608B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81AAA"/>
    <w:multiLevelType w:val="hybridMultilevel"/>
    <w:tmpl w:val="9A32DC00"/>
    <w:lvl w:ilvl="0" w:tplc="94EED530">
      <w:start w:val="3"/>
      <w:numFmt w:val="bullet"/>
      <w:lvlText w:val="-"/>
      <w:lvlJc w:val="left"/>
      <w:pPr>
        <w:ind w:left="360" w:hanging="360"/>
      </w:pPr>
      <w:rPr>
        <w:rFonts w:ascii="Calibri" w:eastAsiaTheme="minorHAnsi"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035372"/>
    <w:multiLevelType w:val="hybridMultilevel"/>
    <w:tmpl w:val="F4D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F6443"/>
    <w:multiLevelType w:val="hybridMultilevel"/>
    <w:tmpl w:val="BC327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B3F97"/>
    <w:multiLevelType w:val="hybridMultilevel"/>
    <w:tmpl w:val="BC2A4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63A50"/>
    <w:multiLevelType w:val="hybridMultilevel"/>
    <w:tmpl w:val="59881CBC"/>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A7A75"/>
    <w:multiLevelType w:val="multilevel"/>
    <w:tmpl w:val="925437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4B3785"/>
    <w:multiLevelType w:val="hybridMultilevel"/>
    <w:tmpl w:val="700C0064"/>
    <w:lvl w:ilvl="0" w:tplc="D8A49B6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6"/>
  </w:num>
  <w:num w:numId="5">
    <w:abstractNumId w:val="7"/>
  </w:num>
  <w:num w:numId="6">
    <w:abstractNumId w:val="16"/>
  </w:num>
  <w:num w:numId="7">
    <w:abstractNumId w:val="1"/>
  </w:num>
  <w:num w:numId="8">
    <w:abstractNumId w:val="15"/>
  </w:num>
  <w:num w:numId="9">
    <w:abstractNumId w:val="11"/>
  </w:num>
  <w:num w:numId="10">
    <w:abstractNumId w:val="10"/>
  </w:num>
  <w:num w:numId="11">
    <w:abstractNumId w:val="2"/>
  </w:num>
  <w:num w:numId="12">
    <w:abstractNumId w:val="0"/>
  </w:num>
  <w:num w:numId="13">
    <w:abstractNumId w:val="8"/>
  </w:num>
  <w:num w:numId="14">
    <w:abstractNumId w:val="14"/>
  </w:num>
  <w:num w:numId="15">
    <w:abstractNumId w:val="12"/>
  </w:num>
  <w:num w:numId="16">
    <w:abstractNumId w:val="1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20"/>
    <w:rsid w:val="0000741E"/>
    <w:rsid w:val="00014722"/>
    <w:rsid w:val="000153DD"/>
    <w:rsid w:val="000155E7"/>
    <w:rsid w:val="000157E7"/>
    <w:rsid w:val="000269F9"/>
    <w:rsid w:val="00040A9C"/>
    <w:rsid w:val="000421FD"/>
    <w:rsid w:val="000424CA"/>
    <w:rsid w:val="0004363A"/>
    <w:rsid w:val="0004428B"/>
    <w:rsid w:val="000463A2"/>
    <w:rsid w:val="00047815"/>
    <w:rsid w:val="00047D20"/>
    <w:rsid w:val="00050472"/>
    <w:rsid w:val="00051A96"/>
    <w:rsid w:val="00057B67"/>
    <w:rsid w:val="00063C96"/>
    <w:rsid w:val="00071A1F"/>
    <w:rsid w:val="0007313D"/>
    <w:rsid w:val="00074FC2"/>
    <w:rsid w:val="00080927"/>
    <w:rsid w:val="00081664"/>
    <w:rsid w:val="00085BD8"/>
    <w:rsid w:val="000903D1"/>
    <w:rsid w:val="00095EFC"/>
    <w:rsid w:val="000A542A"/>
    <w:rsid w:val="000A55FC"/>
    <w:rsid w:val="000C794E"/>
    <w:rsid w:val="000D088F"/>
    <w:rsid w:val="000D7BBE"/>
    <w:rsid w:val="000E6574"/>
    <w:rsid w:val="000E6DC3"/>
    <w:rsid w:val="0010175A"/>
    <w:rsid w:val="00105425"/>
    <w:rsid w:val="001103A6"/>
    <w:rsid w:val="00111C28"/>
    <w:rsid w:val="00111FD4"/>
    <w:rsid w:val="00114995"/>
    <w:rsid w:val="001168D7"/>
    <w:rsid w:val="001175B3"/>
    <w:rsid w:val="0012403C"/>
    <w:rsid w:val="0012493B"/>
    <w:rsid w:val="00125ABB"/>
    <w:rsid w:val="00127B55"/>
    <w:rsid w:val="00131ACB"/>
    <w:rsid w:val="00140D9D"/>
    <w:rsid w:val="00142295"/>
    <w:rsid w:val="0014262C"/>
    <w:rsid w:val="00150FE2"/>
    <w:rsid w:val="00151C40"/>
    <w:rsid w:val="0015543F"/>
    <w:rsid w:val="0015556E"/>
    <w:rsid w:val="00157096"/>
    <w:rsid w:val="00171550"/>
    <w:rsid w:val="00177911"/>
    <w:rsid w:val="0018230D"/>
    <w:rsid w:val="001832B3"/>
    <w:rsid w:val="00183516"/>
    <w:rsid w:val="001850FB"/>
    <w:rsid w:val="00185955"/>
    <w:rsid w:val="001B296C"/>
    <w:rsid w:val="001B4838"/>
    <w:rsid w:val="001B53F2"/>
    <w:rsid w:val="001B5E44"/>
    <w:rsid w:val="001C1CA3"/>
    <w:rsid w:val="001C3F37"/>
    <w:rsid w:val="001C7932"/>
    <w:rsid w:val="001D103C"/>
    <w:rsid w:val="001D1F80"/>
    <w:rsid w:val="001D4A16"/>
    <w:rsid w:val="001D5DCD"/>
    <w:rsid w:val="001E220E"/>
    <w:rsid w:val="001E69D0"/>
    <w:rsid w:val="001F1D51"/>
    <w:rsid w:val="001F5F63"/>
    <w:rsid w:val="002003E9"/>
    <w:rsid w:val="00204643"/>
    <w:rsid w:val="00204BC7"/>
    <w:rsid w:val="00210B1B"/>
    <w:rsid w:val="00212054"/>
    <w:rsid w:val="002153C9"/>
    <w:rsid w:val="002154F5"/>
    <w:rsid w:val="00223544"/>
    <w:rsid w:val="0022400F"/>
    <w:rsid w:val="002263CD"/>
    <w:rsid w:val="002328A3"/>
    <w:rsid w:val="002367FA"/>
    <w:rsid w:val="00236CF3"/>
    <w:rsid w:val="00237A06"/>
    <w:rsid w:val="00240669"/>
    <w:rsid w:val="00241568"/>
    <w:rsid w:val="002459B3"/>
    <w:rsid w:val="0025140C"/>
    <w:rsid w:val="00252A57"/>
    <w:rsid w:val="00254542"/>
    <w:rsid w:val="002632FB"/>
    <w:rsid w:val="00264A56"/>
    <w:rsid w:val="00264CE2"/>
    <w:rsid w:val="00265108"/>
    <w:rsid w:val="002676D6"/>
    <w:rsid w:val="002752F6"/>
    <w:rsid w:val="00277925"/>
    <w:rsid w:val="00281C0B"/>
    <w:rsid w:val="0029127D"/>
    <w:rsid w:val="0029550C"/>
    <w:rsid w:val="002A16E9"/>
    <w:rsid w:val="002A1F2F"/>
    <w:rsid w:val="002A77FB"/>
    <w:rsid w:val="002B0327"/>
    <w:rsid w:val="002B0E41"/>
    <w:rsid w:val="002B744F"/>
    <w:rsid w:val="002C2A04"/>
    <w:rsid w:val="002C67CC"/>
    <w:rsid w:val="002C7EBE"/>
    <w:rsid w:val="002D2E4E"/>
    <w:rsid w:val="002D4868"/>
    <w:rsid w:val="002E2A34"/>
    <w:rsid w:val="002F53FA"/>
    <w:rsid w:val="003009C1"/>
    <w:rsid w:val="00311391"/>
    <w:rsid w:val="00320D53"/>
    <w:rsid w:val="00321FDD"/>
    <w:rsid w:val="00322B18"/>
    <w:rsid w:val="00326DA7"/>
    <w:rsid w:val="00337D70"/>
    <w:rsid w:val="0034087B"/>
    <w:rsid w:val="00340EFB"/>
    <w:rsid w:val="00343D44"/>
    <w:rsid w:val="003468B6"/>
    <w:rsid w:val="0034705B"/>
    <w:rsid w:val="0035265B"/>
    <w:rsid w:val="0035775B"/>
    <w:rsid w:val="00373667"/>
    <w:rsid w:val="003748E9"/>
    <w:rsid w:val="0039536C"/>
    <w:rsid w:val="003B1992"/>
    <w:rsid w:val="003B3009"/>
    <w:rsid w:val="003C2C2B"/>
    <w:rsid w:val="003C410E"/>
    <w:rsid w:val="003D4592"/>
    <w:rsid w:val="003D65DA"/>
    <w:rsid w:val="003E133A"/>
    <w:rsid w:val="003E2117"/>
    <w:rsid w:val="003F0B9C"/>
    <w:rsid w:val="004010F7"/>
    <w:rsid w:val="00404558"/>
    <w:rsid w:val="004049EE"/>
    <w:rsid w:val="004056CA"/>
    <w:rsid w:val="00406DF8"/>
    <w:rsid w:val="0041062A"/>
    <w:rsid w:val="00413282"/>
    <w:rsid w:val="00415C8A"/>
    <w:rsid w:val="00440756"/>
    <w:rsid w:val="00442810"/>
    <w:rsid w:val="00445CB5"/>
    <w:rsid w:val="00446DFE"/>
    <w:rsid w:val="00450ACA"/>
    <w:rsid w:val="00451719"/>
    <w:rsid w:val="0045338E"/>
    <w:rsid w:val="00455FB8"/>
    <w:rsid w:val="00457262"/>
    <w:rsid w:val="00457D0E"/>
    <w:rsid w:val="00463D30"/>
    <w:rsid w:val="00464620"/>
    <w:rsid w:val="00465950"/>
    <w:rsid w:val="004769AB"/>
    <w:rsid w:val="004826C2"/>
    <w:rsid w:val="004843FC"/>
    <w:rsid w:val="004860C4"/>
    <w:rsid w:val="00491D1F"/>
    <w:rsid w:val="0049209D"/>
    <w:rsid w:val="004A118C"/>
    <w:rsid w:val="004A4EE8"/>
    <w:rsid w:val="004A7A4A"/>
    <w:rsid w:val="004B77DB"/>
    <w:rsid w:val="004C3F9B"/>
    <w:rsid w:val="004C4194"/>
    <w:rsid w:val="004C6520"/>
    <w:rsid w:val="004D1C17"/>
    <w:rsid w:val="004D4436"/>
    <w:rsid w:val="004E0FAA"/>
    <w:rsid w:val="004E1005"/>
    <w:rsid w:val="004E12E5"/>
    <w:rsid w:val="004E258C"/>
    <w:rsid w:val="004E3ED2"/>
    <w:rsid w:val="004E45BA"/>
    <w:rsid w:val="004E5203"/>
    <w:rsid w:val="00501C3A"/>
    <w:rsid w:val="00512FD9"/>
    <w:rsid w:val="0051634F"/>
    <w:rsid w:val="00516810"/>
    <w:rsid w:val="00517015"/>
    <w:rsid w:val="0052525C"/>
    <w:rsid w:val="0053505A"/>
    <w:rsid w:val="005361B9"/>
    <w:rsid w:val="00537F87"/>
    <w:rsid w:val="005443F4"/>
    <w:rsid w:val="00546B46"/>
    <w:rsid w:val="00546CC5"/>
    <w:rsid w:val="00551CBB"/>
    <w:rsid w:val="0056693E"/>
    <w:rsid w:val="00577A37"/>
    <w:rsid w:val="00582F0A"/>
    <w:rsid w:val="00583900"/>
    <w:rsid w:val="00584686"/>
    <w:rsid w:val="00585418"/>
    <w:rsid w:val="005930EB"/>
    <w:rsid w:val="005A24CA"/>
    <w:rsid w:val="005A7BFC"/>
    <w:rsid w:val="005C2CB3"/>
    <w:rsid w:val="005C330B"/>
    <w:rsid w:val="005C3F9A"/>
    <w:rsid w:val="005C4C16"/>
    <w:rsid w:val="005D34A3"/>
    <w:rsid w:val="005E41D5"/>
    <w:rsid w:val="005F07B7"/>
    <w:rsid w:val="005F19DB"/>
    <w:rsid w:val="005F3B42"/>
    <w:rsid w:val="005F602C"/>
    <w:rsid w:val="0060394F"/>
    <w:rsid w:val="006134B9"/>
    <w:rsid w:val="00614D82"/>
    <w:rsid w:val="00625196"/>
    <w:rsid w:val="00626899"/>
    <w:rsid w:val="00627FD1"/>
    <w:rsid w:val="006309C2"/>
    <w:rsid w:val="00631587"/>
    <w:rsid w:val="0063214B"/>
    <w:rsid w:val="00636220"/>
    <w:rsid w:val="00643E94"/>
    <w:rsid w:val="0064442A"/>
    <w:rsid w:val="00650260"/>
    <w:rsid w:val="00651347"/>
    <w:rsid w:val="00656C8B"/>
    <w:rsid w:val="0066159C"/>
    <w:rsid w:val="0066365C"/>
    <w:rsid w:val="00663872"/>
    <w:rsid w:val="006654BC"/>
    <w:rsid w:val="0067427E"/>
    <w:rsid w:val="006879BB"/>
    <w:rsid w:val="00692BCE"/>
    <w:rsid w:val="00694FCA"/>
    <w:rsid w:val="00695CA5"/>
    <w:rsid w:val="006A2F96"/>
    <w:rsid w:val="006A58B2"/>
    <w:rsid w:val="006B3463"/>
    <w:rsid w:val="006B4079"/>
    <w:rsid w:val="006C3792"/>
    <w:rsid w:val="006D01A8"/>
    <w:rsid w:val="006D55F3"/>
    <w:rsid w:val="006D571B"/>
    <w:rsid w:val="006D66D8"/>
    <w:rsid w:val="006D68B9"/>
    <w:rsid w:val="006D7998"/>
    <w:rsid w:val="006E0ED4"/>
    <w:rsid w:val="006E253C"/>
    <w:rsid w:val="006E2A70"/>
    <w:rsid w:val="006E31E8"/>
    <w:rsid w:val="006E486C"/>
    <w:rsid w:val="006F1EFA"/>
    <w:rsid w:val="006F28D2"/>
    <w:rsid w:val="006F3364"/>
    <w:rsid w:val="007151ED"/>
    <w:rsid w:val="00716A25"/>
    <w:rsid w:val="00720755"/>
    <w:rsid w:val="0072391A"/>
    <w:rsid w:val="007311E8"/>
    <w:rsid w:val="00731DD1"/>
    <w:rsid w:val="00735F08"/>
    <w:rsid w:val="00742F1A"/>
    <w:rsid w:val="0075041C"/>
    <w:rsid w:val="007507CB"/>
    <w:rsid w:val="007515B1"/>
    <w:rsid w:val="00753421"/>
    <w:rsid w:val="00753977"/>
    <w:rsid w:val="00761E63"/>
    <w:rsid w:val="007746AD"/>
    <w:rsid w:val="00781332"/>
    <w:rsid w:val="007927FD"/>
    <w:rsid w:val="00794186"/>
    <w:rsid w:val="00796217"/>
    <w:rsid w:val="00796862"/>
    <w:rsid w:val="007B0095"/>
    <w:rsid w:val="007B5B28"/>
    <w:rsid w:val="007C3622"/>
    <w:rsid w:val="007C684F"/>
    <w:rsid w:val="007C6E58"/>
    <w:rsid w:val="007D1076"/>
    <w:rsid w:val="007D20AE"/>
    <w:rsid w:val="007D7015"/>
    <w:rsid w:val="007E17D3"/>
    <w:rsid w:val="007E23B8"/>
    <w:rsid w:val="007F2AF5"/>
    <w:rsid w:val="007F45A4"/>
    <w:rsid w:val="007F6FD3"/>
    <w:rsid w:val="0080741F"/>
    <w:rsid w:val="00812908"/>
    <w:rsid w:val="008151A2"/>
    <w:rsid w:val="00823895"/>
    <w:rsid w:val="00831BCE"/>
    <w:rsid w:val="00837D74"/>
    <w:rsid w:val="00844279"/>
    <w:rsid w:val="008445B3"/>
    <w:rsid w:val="00846A69"/>
    <w:rsid w:val="00850A6E"/>
    <w:rsid w:val="00852584"/>
    <w:rsid w:val="00861D71"/>
    <w:rsid w:val="00873EEB"/>
    <w:rsid w:val="008774F8"/>
    <w:rsid w:val="0087777E"/>
    <w:rsid w:val="008829FE"/>
    <w:rsid w:val="00886074"/>
    <w:rsid w:val="008870C3"/>
    <w:rsid w:val="00887BAB"/>
    <w:rsid w:val="008A479E"/>
    <w:rsid w:val="008B51FF"/>
    <w:rsid w:val="008B5A68"/>
    <w:rsid w:val="008B65B8"/>
    <w:rsid w:val="008D5C05"/>
    <w:rsid w:val="008D793A"/>
    <w:rsid w:val="008E2714"/>
    <w:rsid w:val="008E36FF"/>
    <w:rsid w:val="008E42A2"/>
    <w:rsid w:val="008E6578"/>
    <w:rsid w:val="008F090B"/>
    <w:rsid w:val="008F0E65"/>
    <w:rsid w:val="008F66B3"/>
    <w:rsid w:val="008F7E51"/>
    <w:rsid w:val="00900B72"/>
    <w:rsid w:val="00904E99"/>
    <w:rsid w:val="0090528C"/>
    <w:rsid w:val="00907CD1"/>
    <w:rsid w:val="009110E0"/>
    <w:rsid w:val="00914009"/>
    <w:rsid w:val="009173B0"/>
    <w:rsid w:val="0091775D"/>
    <w:rsid w:val="00922C4A"/>
    <w:rsid w:val="00923FDB"/>
    <w:rsid w:val="00924683"/>
    <w:rsid w:val="00931785"/>
    <w:rsid w:val="0093507B"/>
    <w:rsid w:val="009404AB"/>
    <w:rsid w:val="00942F1C"/>
    <w:rsid w:val="00944AFC"/>
    <w:rsid w:val="009454E6"/>
    <w:rsid w:val="00947723"/>
    <w:rsid w:val="00950840"/>
    <w:rsid w:val="00963437"/>
    <w:rsid w:val="009665B9"/>
    <w:rsid w:val="00972BE1"/>
    <w:rsid w:val="00975ECA"/>
    <w:rsid w:val="0098080C"/>
    <w:rsid w:val="009906A0"/>
    <w:rsid w:val="00994C3D"/>
    <w:rsid w:val="009B39EC"/>
    <w:rsid w:val="009B5E73"/>
    <w:rsid w:val="009B74C6"/>
    <w:rsid w:val="009B7F81"/>
    <w:rsid w:val="009C0149"/>
    <w:rsid w:val="009C1236"/>
    <w:rsid w:val="009C14FE"/>
    <w:rsid w:val="009C5D21"/>
    <w:rsid w:val="009C6CA1"/>
    <w:rsid w:val="009C7BA9"/>
    <w:rsid w:val="009D57F3"/>
    <w:rsid w:val="009D6E18"/>
    <w:rsid w:val="009E515B"/>
    <w:rsid w:val="009E5684"/>
    <w:rsid w:val="009F172D"/>
    <w:rsid w:val="009F35CE"/>
    <w:rsid w:val="00A10EC8"/>
    <w:rsid w:val="00A11D76"/>
    <w:rsid w:val="00A1763E"/>
    <w:rsid w:val="00A3031F"/>
    <w:rsid w:val="00A33F2E"/>
    <w:rsid w:val="00A342F4"/>
    <w:rsid w:val="00A3543A"/>
    <w:rsid w:val="00A35BA4"/>
    <w:rsid w:val="00A40CB4"/>
    <w:rsid w:val="00A41A6F"/>
    <w:rsid w:val="00A50D58"/>
    <w:rsid w:val="00A6276E"/>
    <w:rsid w:val="00A65624"/>
    <w:rsid w:val="00A72B1D"/>
    <w:rsid w:val="00A74B10"/>
    <w:rsid w:val="00A82822"/>
    <w:rsid w:val="00AA712A"/>
    <w:rsid w:val="00AA7E8F"/>
    <w:rsid w:val="00AB2674"/>
    <w:rsid w:val="00AC04E7"/>
    <w:rsid w:val="00AE6B37"/>
    <w:rsid w:val="00AF1F3B"/>
    <w:rsid w:val="00AF28E3"/>
    <w:rsid w:val="00AF3D0D"/>
    <w:rsid w:val="00AF603C"/>
    <w:rsid w:val="00B05D19"/>
    <w:rsid w:val="00B20584"/>
    <w:rsid w:val="00B241C2"/>
    <w:rsid w:val="00B2634E"/>
    <w:rsid w:val="00B40915"/>
    <w:rsid w:val="00B45A2C"/>
    <w:rsid w:val="00B54838"/>
    <w:rsid w:val="00B66789"/>
    <w:rsid w:val="00B66B82"/>
    <w:rsid w:val="00B70491"/>
    <w:rsid w:val="00B70A6D"/>
    <w:rsid w:val="00B7253F"/>
    <w:rsid w:val="00B746AF"/>
    <w:rsid w:val="00B74B2A"/>
    <w:rsid w:val="00B76C9A"/>
    <w:rsid w:val="00B85B45"/>
    <w:rsid w:val="00B86195"/>
    <w:rsid w:val="00BA3F8D"/>
    <w:rsid w:val="00BA4110"/>
    <w:rsid w:val="00BA4659"/>
    <w:rsid w:val="00BA64D6"/>
    <w:rsid w:val="00BB24EE"/>
    <w:rsid w:val="00BB3327"/>
    <w:rsid w:val="00BC1626"/>
    <w:rsid w:val="00BC60B5"/>
    <w:rsid w:val="00BC7B2D"/>
    <w:rsid w:val="00BF2C8D"/>
    <w:rsid w:val="00BF3511"/>
    <w:rsid w:val="00BF38B8"/>
    <w:rsid w:val="00BF41FF"/>
    <w:rsid w:val="00BF5668"/>
    <w:rsid w:val="00BF69F1"/>
    <w:rsid w:val="00C021AA"/>
    <w:rsid w:val="00C07BA1"/>
    <w:rsid w:val="00C10601"/>
    <w:rsid w:val="00C109A7"/>
    <w:rsid w:val="00C12CE4"/>
    <w:rsid w:val="00C22826"/>
    <w:rsid w:val="00C27A21"/>
    <w:rsid w:val="00C32490"/>
    <w:rsid w:val="00C32E59"/>
    <w:rsid w:val="00C342F9"/>
    <w:rsid w:val="00C42D48"/>
    <w:rsid w:val="00C4485F"/>
    <w:rsid w:val="00C44D4C"/>
    <w:rsid w:val="00C46BE8"/>
    <w:rsid w:val="00C575AB"/>
    <w:rsid w:val="00C63750"/>
    <w:rsid w:val="00C72999"/>
    <w:rsid w:val="00C80F8B"/>
    <w:rsid w:val="00C82C2C"/>
    <w:rsid w:val="00C833D6"/>
    <w:rsid w:val="00C83B5D"/>
    <w:rsid w:val="00C91B33"/>
    <w:rsid w:val="00C92A65"/>
    <w:rsid w:val="00CA6215"/>
    <w:rsid w:val="00CA765E"/>
    <w:rsid w:val="00CB417C"/>
    <w:rsid w:val="00CB59BC"/>
    <w:rsid w:val="00CB6FF2"/>
    <w:rsid w:val="00CC2388"/>
    <w:rsid w:val="00CD0E91"/>
    <w:rsid w:val="00CE31A4"/>
    <w:rsid w:val="00CE4137"/>
    <w:rsid w:val="00CF100C"/>
    <w:rsid w:val="00CF4A3A"/>
    <w:rsid w:val="00CF6FA6"/>
    <w:rsid w:val="00D02F61"/>
    <w:rsid w:val="00D05968"/>
    <w:rsid w:val="00D12075"/>
    <w:rsid w:val="00D12A07"/>
    <w:rsid w:val="00D12DC1"/>
    <w:rsid w:val="00D1315B"/>
    <w:rsid w:val="00D1643F"/>
    <w:rsid w:val="00D2707E"/>
    <w:rsid w:val="00D27C25"/>
    <w:rsid w:val="00D37DCD"/>
    <w:rsid w:val="00D4106A"/>
    <w:rsid w:val="00D419AB"/>
    <w:rsid w:val="00D454FE"/>
    <w:rsid w:val="00D5064E"/>
    <w:rsid w:val="00D533EB"/>
    <w:rsid w:val="00D54051"/>
    <w:rsid w:val="00D575F2"/>
    <w:rsid w:val="00D60473"/>
    <w:rsid w:val="00D62011"/>
    <w:rsid w:val="00D64073"/>
    <w:rsid w:val="00D66369"/>
    <w:rsid w:val="00D66A68"/>
    <w:rsid w:val="00D713E4"/>
    <w:rsid w:val="00D826A3"/>
    <w:rsid w:val="00D83178"/>
    <w:rsid w:val="00D8655D"/>
    <w:rsid w:val="00D909B7"/>
    <w:rsid w:val="00D928E6"/>
    <w:rsid w:val="00D96484"/>
    <w:rsid w:val="00DA07CB"/>
    <w:rsid w:val="00DA26FE"/>
    <w:rsid w:val="00DA38FA"/>
    <w:rsid w:val="00DB60F4"/>
    <w:rsid w:val="00DB6731"/>
    <w:rsid w:val="00DC32EC"/>
    <w:rsid w:val="00DC441F"/>
    <w:rsid w:val="00DC5A7D"/>
    <w:rsid w:val="00DC74D7"/>
    <w:rsid w:val="00DD0C0D"/>
    <w:rsid w:val="00DD15AF"/>
    <w:rsid w:val="00DD26A2"/>
    <w:rsid w:val="00DD5F61"/>
    <w:rsid w:val="00DD748B"/>
    <w:rsid w:val="00DE00C2"/>
    <w:rsid w:val="00DE5D3A"/>
    <w:rsid w:val="00DF0096"/>
    <w:rsid w:val="00DF33B7"/>
    <w:rsid w:val="00DF3616"/>
    <w:rsid w:val="00DF5DC4"/>
    <w:rsid w:val="00E02752"/>
    <w:rsid w:val="00E0512A"/>
    <w:rsid w:val="00E102BC"/>
    <w:rsid w:val="00E11D6C"/>
    <w:rsid w:val="00E1293D"/>
    <w:rsid w:val="00E132A5"/>
    <w:rsid w:val="00E1574C"/>
    <w:rsid w:val="00E16285"/>
    <w:rsid w:val="00E1641F"/>
    <w:rsid w:val="00E23401"/>
    <w:rsid w:val="00E24153"/>
    <w:rsid w:val="00E37180"/>
    <w:rsid w:val="00E44439"/>
    <w:rsid w:val="00E50B1D"/>
    <w:rsid w:val="00E55450"/>
    <w:rsid w:val="00E5561E"/>
    <w:rsid w:val="00E57B74"/>
    <w:rsid w:val="00E63680"/>
    <w:rsid w:val="00E739F2"/>
    <w:rsid w:val="00E75308"/>
    <w:rsid w:val="00E770C6"/>
    <w:rsid w:val="00E8165F"/>
    <w:rsid w:val="00E93F84"/>
    <w:rsid w:val="00EA09B5"/>
    <w:rsid w:val="00EA3C58"/>
    <w:rsid w:val="00EB27FB"/>
    <w:rsid w:val="00EB58A7"/>
    <w:rsid w:val="00EB58BF"/>
    <w:rsid w:val="00EC61A0"/>
    <w:rsid w:val="00ED004A"/>
    <w:rsid w:val="00ED3674"/>
    <w:rsid w:val="00EE21DB"/>
    <w:rsid w:val="00EE3439"/>
    <w:rsid w:val="00EE34B5"/>
    <w:rsid w:val="00EF2A29"/>
    <w:rsid w:val="00EF4B2B"/>
    <w:rsid w:val="00EF6B5D"/>
    <w:rsid w:val="00EF6E14"/>
    <w:rsid w:val="00F0304B"/>
    <w:rsid w:val="00F03CCA"/>
    <w:rsid w:val="00F06D76"/>
    <w:rsid w:val="00F105AC"/>
    <w:rsid w:val="00F13235"/>
    <w:rsid w:val="00F139D3"/>
    <w:rsid w:val="00F209E4"/>
    <w:rsid w:val="00F22A94"/>
    <w:rsid w:val="00F22BF2"/>
    <w:rsid w:val="00F43C95"/>
    <w:rsid w:val="00F46220"/>
    <w:rsid w:val="00F53D04"/>
    <w:rsid w:val="00F54E1D"/>
    <w:rsid w:val="00F619B7"/>
    <w:rsid w:val="00F7030F"/>
    <w:rsid w:val="00F74919"/>
    <w:rsid w:val="00F83BB7"/>
    <w:rsid w:val="00F83DBA"/>
    <w:rsid w:val="00F84E64"/>
    <w:rsid w:val="00F90E21"/>
    <w:rsid w:val="00F9612E"/>
    <w:rsid w:val="00FB1E6F"/>
    <w:rsid w:val="00FB758F"/>
    <w:rsid w:val="00FC7083"/>
    <w:rsid w:val="00FD2289"/>
    <w:rsid w:val="00FE6275"/>
    <w:rsid w:val="00FF0046"/>
    <w:rsid w:val="00FF3882"/>
    <w:rsid w:val="00FF5AF8"/>
    <w:rsid w:val="00FF5C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8677"/>
  <w15:docId w15:val="{6C1C2568-F894-8D4B-8372-67464559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20"/>
  </w:style>
  <w:style w:type="paragraph" w:styleId="Heading1">
    <w:name w:val="heading 1"/>
    <w:basedOn w:val="Normal"/>
    <w:next w:val="Normal"/>
    <w:link w:val="Heading1Char"/>
    <w:uiPriority w:val="9"/>
    <w:qFormat/>
    <w:rsid w:val="008151A2"/>
    <w:pPr>
      <w:keepNext/>
      <w:keepLines/>
      <w:numPr>
        <w:numId w:val="2"/>
      </w:numPr>
      <w:spacing w:before="120" w:after="0"/>
      <w:ind w:hanging="36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qFormat/>
    <w:rsid w:val="00E50B1D"/>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ListParagraph"/>
    <w:next w:val="Normal"/>
    <w:link w:val="Heading3Char"/>
    <w:qFormat/>
    <w:rsid w:val="00E50B1D"/>
    <w:pPr>
      <w:numPr>
        <w:numId w:val="7"/>
      </w:numPr>
      <w:spacing w:after="0" w:line="240" w:lineRule="auto"/>
      <w:contextualSpacing w:val="0"/>
      <w:outlineLvl w:val="2"/>
    </w:pPr>
    <w:rPr>
      <w:rFonts w:eastAsia="Times New Roman" w:cstheme="minorHAnsi"/>
      <w:b/>
      <w:color w:val="2F5496" w:themeColor="accent1" w:themeShade="BF"/>
      <w:sz w:val="24"/>
      <w:szCs w:val="24"/>
      <w:lang w:val="en-GB"/>
    </w:rPr>
  </w:style>
  <w:style w:type="paragraph" w:styleId="Heading4">
    <w:name w:val="heading 4"/>
    <w:basedOn w:val="ListParagraph"/>
    <w:next w:val="Normal"/>
    <w:link w:val="Heading4Char"/>
    <w:uiPriority w:val="9"/>
    <w:unhideWhenUsed/>
    <w:qFormat/>
    <w:rsid w:val="00E50B1D"/>
    <w:pPr>
      <w:numPr>
        <w:ilvl w:val="1"/>
        <w:numId w:val="7"/>
      </w:numPr>
      <w:spacing w:after="0" w:line="240" w:lineRule="auto"/>
      <w:ind w:left="720"/>
      <w:contextualSpacing w:val="0"/>
      <w:jc w:val="both"/>
      <w:outlineLvl w:val="3"/>
    </w:pPr>
    <w:rPr>
      <w:rFonts w:ascii="Calibri" w:eastAsia="Times New Roman" w:hAnsi="Calibri" w:cs="Times New Roman"/>
      <w:b/>
      <w:sz w:val="24"/>
      <w:szCs w:val="24"/>
      <w:lang w:val="en-GB"/>
    </w:rPr>
  </w:style>
  <w:style w:type="paragraph" w:styleId="Heading5">
    <w:name w:val="heading 5"/>
    <w:basedOn w:val="Heading4"/>
    <w:next w:val="Normal"/>
    <w:link w:val="Heading5Char"/>
    <w:uiPriority w:val="9"/>
    <w:unhideWhenUsed/>
    <w:qFormat/>
    <w:rsid w:val="00E50B1D"/>
    <w:pPr>
      <w:numPr>
        <w:ilvl w:val="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1A2"/>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E50B1D"/>
    <w:rPr>
      <w:rFonts w:ascii="Cambria" w:eastAsia="Times New Roman" w:hAnsi="Cambria" w:cs="Times New Roman"/>
      <w:b/>
      <w:bCs/>
      <w:i/>
      <w:iCs/>
      <w:sz w:val="28"/>
      <w:szCs w:val="28"/>
      <w:lang w:val="en-US"/>
    </w:rPr>
  </w:style>
  <w:style w:type="paragraph" w:styleId="ListParagraph">
    <w:name w:val="List Paragraph"/>
    <w:aliases w:val="Colorful List - Accent 11,List Paragraph Char Char,List Paragraph 1,Akapit z listą BS,lp1"/>
    <w:basedOn w:val="Normal"/>
    <w:uiPriority w:val="34"/>
    <w:qFormat/>
    <w:rsid w:val="00DA07CB"/>
    <w:pPr>
      <w:ind w:left="720"/>
      <w:contextualSpacing/>
    </w:pPr>
  </w:style>
  <w:style w:type="character" w:customStyle="1" w:styleId="Heading3Char">
    <w:name w:val="Heading 3 Char"/>
    <w:basedOn w:val="DefaultParagraphFont"/>
    <w:link w:val="Heading3"/>
    <w:rsid w:val="00E50B1D"/>
    <w:rPr>
      <w:rFonts w:eastAsia="Times New Roman" w:cstheme="minorHAnsi"/>
      <w:b/>
      <w:color w:val="2F5496" w:themeColor="accent1" w:themeShade="BF"/>
      <w:sz w:val="24"/>
      <w:szCs w:val="24"/>
      <w:lang w:val="en-GB"/>
    </w:rPr>
  </w:style>
  <w:style w:type="character" w:customStyle="1" w:styleId="Heading4Char">
    <w:name w:val="Heading 4 Char"/>
    <w:basedOn w:val="DefaultParagraphFont"/>
    <w:link w:val="Heading4"/>
    <w:uiPriority w:val="9"/>
    <w:rsid w:val="00E50B1D"/>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rsid w:val="00E50B1D"/>
    <w:rPr>
      <w:rFonts w:ascii="Calibri" w:eastAsia="Times New Roman" w:hAnsi="Calibri" w:cs="Times New Roman"/>
      <w:b/>
      <w:sz w:val="24"/>
      <w:szCs w:val="24"/>
      <w:lang w:val="en-GB"/>
    </w:rPr>
  </w:style>
  <w:style w:type="paragraph" w:styleId="NoSpacing">
    <w:name w:val="No Spacing"/>
    <w:link w:val="NoSpacingChar"/>
    <w:uiPriority w:val="1"/>
    <w:qFormat/>
    <w:rsid w:val="00636220"/>
    <w:pPr>
      <w:spacing w:after="0" w:line="240" w:lineRule="auto"/>
    </w:pPr>
  </w:style>
  <w:style w:type="character" w:customStyle="1" w:styleId="NoSpacingChar">
    <w:name w:val="No Spacing Char"/>
    <w:basedOn w:val="DefaultParagraphFont"/>
    <w:link w:val="NoSpacing"/>
    <w:uiPriority w:val="1"/>
    <w:rsid w:val="00E50B1D"/>
  </w:style>
  <w:style w:type="table" w:styleId="TableGrid">
    <w:name w:val="Table Grid"/>
    <w:basedOn w:val="TableNormal"/>
    <w:uiPriority w:val="39"/>
    <w:rsid w:val="0063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0"/>
    <w:basedOn w:val="DefaultParagraphFont"/>
    <w:rsid w:val="00636220"/>
  </w:style>
  <w:style w:type="paragraph" w:styleId="Header">
    <w:name w:val="header"/>
    <w:basedOn w:val="Normal"/>
    <w:link w:val="HeaderChar"/>
    <w:uiPriority w:val="99"/>
    <w:unhideWhenUsed/>
    <w:rsid w:val="0063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220"/>
  </w:style>
  <w:style w:type="paragraph" w:customStyle="1" w:styleId="Default">
    <w:name w:val="Default"/>
    <w:link w:val="DefaultChar"/>
    <w:qFormat/>
    <w:rsid w:val="00636220"/>
    <w:pPr>
      <w:autoSpaceDE w:val="0"/>
      <w:autoSpaceDN w:val="0"/>
      <w:adjustRightInd w:val="0"/>
      <w:spacing w:after="0" w:line="240" w:lineRule="auto"/>
    </w:pPr>
    <w:rPr>
      <w:rFonts w:ascii="Arial" w:hAnsi="Arial" w:cs="Arial"/>
      <w:color w:val="000000"/>
      <w:sz w:val="24"/>
      <w:szCs w:val="24"/>
      <w:lang w:val="en-GB"/>
    </w:rPr>
  </w:style>
  <w:style w:type="character" w:customStyle="1" w:styleId="DefaultChar">
    <w:name w:val="Default Char"/>
    <w:link w:val="Default"/>
    <w:locked/>
    <w:rsid w:val="00E50B1D"/>
    <w:rPr>
      <w:rFonts w:ascii="Arial" w:hAnsi="Arial" w:cs="Arial"/>
      <w:color w:val="000000"/>
      <w:sz w:val="24"/>
      <w:szCs w:val="24"/>
      <w:lang w:val="en-GB"/>
    </w:rPr>
  </w:style>
  <w:style w:type="character" w:styleId="Hyperlink">
    <w:name w:val="Hyperlink"/>
    <w:basedOn w:val="DefaultParagraphFont"/>
    <w:uiPriority w:val="99"/>
    <w:unhideWhenUsed/>
    <w:rsid w:val="00636220"/>
    <w:rPr>
      <w:color w:val="0563C1" w:themeColor="hyperlink"/>
      <w:u w:val="single"/>
    </w:rPr>
  </w:style>
  <w:style w:type="paragraph" w:styleId="Footer">
    <w:name w:val="footer"/>
    <w:basedOn w:val="Normal"/>
    <w:link w:val="FooterChar"/>
    <w:uiPriority w:val="99"/>
    <w:unhideWhenUsed/>
    <w:rsid w:val="00CC2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388"/>
  </w:style>
  <w:style w:type="paragraph" w:styleId="FootnoteText">
    <w:name w:val="footnote text"/>
    <w:aliases w:val="single space,footnote text,FOOTNOTES,fn Char Char,fn Char,fn,Footnote Text1 Char Char,Footnote Text1 Char Char Char Char Char,Footnote Text1 Char Char Char Char,ADB,pod carou Char Char,pod carou Ch,Char,pod carou,Fußnote,Char Char Char Cha"/>
    <w:basedOn w:val="Normal"/>
    <w:link w:val="FootnoteTextChar"/>
    <w:uiPriority w:val="99"/>
    <w:unhideWhenUsed/>
    <w:qFormat/>
    <w:rsid w:val="008E42A2"/>
    <w:pPr>
      <w:spacing w:after="0" w:line="240" w:lineRule="auto"/>
    </w:pPr>
    <w:rPr>
      <w:sz w:val="20"/>
      <w:szCs w:val="20"/>
    </w:rPr>
  </w:style>
  <w:style w:type="character" w:customStyle="1" w:styleId="FootnoteTextChar">
    <w:name w:val="Footnote Text Char"/>
    <w:aliases w:val="single space Char,footnote text Char,FOOTNOTES Char,fn Char Char Char,fn Char Char1,fn Char1,Footnote Text1 Char Char Char,Footnote Text1 Char Char Char Char Char Char,Footnote Text1 Char Char Char Char Char1,ADB Char,Char Char"/>
    <w:basedOn w:val="DefaultParagraphFont"/>
    <w:link w:val="FootnoteText"/>
    <w:uiPriority w:val="99"/>
    <w:rsid w:val="008E42A2"/>
    <w:rPr>
      <w:sz w:val="20"/>
      <w:szCs w:val="20"/>
    </w:rPr>
  </w:style>
  <w:style w:type="character" w:styleId="FootnoteReference">
    <w:name w:val="footnote reference"/>
    <w:aliases w:val="16 Point Char,Superscript 6 Point Char,Odwołanie przypisu Char,Footnote symbol Char,ftref Char,BVI fnr Char,Footnote Reference Number Char,Footnote Reference_LVL6 Char,Footnote Reference_LVL61 Char,Footnote Reference_LVL62 Char,callou"/>
    <w:basedOn w:val="DefaultParagraphFont"/>
    <w:link w:val="16Point"/>
    <w:uiPriority w:val="99"/>
    <w:unhideWhenUsed/>
    <w:qFormat/>
    <w:rsid w:val="008E42A2"/>
    <w:rPr>
      <w:vertAlign w:val="superscript"/>
    </w:rPr>
  </w:style>
  <w:style w:type="paragraph" w:customStyle="1" w:styleId="16Point">
    <w:name w:val="16 Point"/>
    <w:aliases w:val="Superscript 6 Point,Odwołanie przypisu,Footnote symbol,ftref,BVI fnr,Footnote Reference Number,Footnote Reference_LVL6,Footnote Reference_LVL61,Footnote Reference_LVL62,Footnote Reference_LVL63,Footnote Reference_LVL64,fr,Footnote Car Zchn Zchn"/>
    <w:basedOn w:val="Normal"/>
    <w:link w:val="FootnoteReference"/>
    <w:uiPriority w:val="99"/>
    <w:rsid w:val="00E50B1D"/>
    <w:pPr>
      <w:spacing w:line="240" w:lineRule="exact"/>
    </w:pPr>
    <w:rPr>
      <w:vertAlign w:val="superscript"/>
    </w:rPr>
  </w:style>
  <w:style w:type="character" w:customStyle="1" w:styleId="UnresolvedMention1">
    <w:name w:val="Unresolved Mention1"/>
    <w:basedOn w:val="DefaultParagraphFont"/>
    <w:uiPriority w:val="99"/>
    <w:semiHidden/>
    <w:unhideWhenUsed/>
    <w:rsid w:val="00E23401"/>
    <w:rPr>
      <w:color w:val="605E5C"/>
      <w:shd w:val="clear" w:color="auto" w:fill="E1DFDD"/>
    </w:rPr>
  </w:style>
  <w:style w:type="character" w:styleId="CommentReference">
    <w:name w:val="annotation reference"/>
    <w:basedOn w:val="DefaultParagraphFont"/>
    <w:uiPriority w:val="99"/>
    <w:semiHidden/>
    <w:unhideWhenUsed/>
    <w:rsid w:val="00517015"/>
    <w:rPr>
      <w:sz w:val="16"/>
      <w:szCs w:val="16"/>
    </w:rPr>
  </w:style>
  <w:style w:type="paragraph" w:styleId="CommentText">
    <w:name w:val="annotation text"/>
    <w:basedOn w:val="Normal"/>
    <w:link w:val="CommentTextChar"/>
    <w:uiPriority w:val="99"/>
    <w:unhideWhenUsed/>
    <w:rsid w:val="00517015"/>
    <w:pPr>
      <w:spacing w:line="240" w:lineRule="auto"/>
    </w:pPr>
    <w:rPr>
      <w:sz w:val="20"/>
      <w:szCs w:val="20"/>
    </w:rPr>
  </w:style>
  <w:style w:type="character" w:customStyle="1" w:styleId="CommentTextChar">
    <w:name w:val="Comment Text Char"/>
    <w:basedOn w:val="DefaultParagraphFont"/>
    <w:link w:val="CommentText"/>
    <w:uiPriority w:val="99"/>
    <w:rsid w:val="00517015"/>
    <w:rPr>
      <w:sz w:val="20"/>
      <w:szCs w:val="20"/>
    </w:rPr>
  </w:style>
  <w:style w:type="paragraph" w:styleId="CommentSubject">
    <w:name w:val="annotation subject"/>
    <w:basedOn w:val="CommentText"/>
    <w:next w:val="CommentText"/>
    <w:link w:val="CommentSubjectChar"/>
    <w:uiPriority w:val="99"/>
    <w:semiHidden/>
    <w:unhideWhenUsed/>
    <w:rsid w:val="00517015"/>
    <w:rPr>
      <w:b/>
      <w:bCs/>
    </w:rPr>
  </w:style>
  <w:style w:type="character" w:customStyle="1" w:styleId="CommentSubjectChar">
    <w:name w:val="Comment Subject Char"/>
    <w:basedOn w:val="CommentTextChar"/>
    <w:link w:val="CommentSubject"/>
    <w:uiPriority w:val="99"/>
    <w:semiHidden/>
    <w:rsid w:val="00517015"/>
    <w:rPr>
      <w:b/>
      <w:bCs/>
      <w:sz w:val="20"/>
      <w:szCs w:val="20"/>
    </w:rPr>
  </w:style>
  <w:style w:type="paragraph" w:styleId="Caption">
    <w:name w:val="caption"/>
    <w:basedOn w:val="Normal"/>
    <w:next w:val="Normal"/>
    <w:uiPriority w:val="35"/>
    <w:qFormat/>
    <w:rsid w:val="00E50B1D"/>
    <w:pPr>
      <w:spacing w:after="0" w:line="240" w:lineRule="auto"/>
    </w:pPr>
    <w:rPr>
      <w:rFonts w:ascii="Times New Roman" w:eastAsia="Calibri" w:hAnsi="Times New Roman" w:cs="Times New Roman"/>
      <w:b/>
      <w:bCs/>
      <w:sz w:val="20"/>
      <w:szCs w:val="20"/>
      <w:lang w:val="sq-AL" w:eastAsia="sq-AL"/>
    </w:rPr>
  </w:style>
  <w:style w:type="paragraph" w:customStyle="1" w:styleId="ListParagraph1">
    <w:name w:val="List Paragraph1"/>
    <w:aliases w:val="List Paragraph (numbered (a)),Normal 1,Dot pt,F5 List Paragraph,List Paragraph Char Char Char,Indicator Text,Numbered Para 1,Bullet 1,Bullet Points,MAIN CONTENT,Párrafo de lista,Recommendation,List Paragraph2"/>
    <w:basedOn w:val="Normal"/>
    <w:link w:val="ListParagraphChar"/>
    <w:uiPriority w:val="34"/>
    <w:qFormat/>
    <w:rsid w:val="00E50B1D"/>
    <w:pPr>
      <w:spacing w:after="0" w:line="240" w:lineRule="auto"/>
      <w:ind w:left="720"/>
      <w:contextualSpacing/>
    </w:pPr>
    <w:rPr>
      <w:rFonts w:ascii="Times New Roman" w:eastAsia="Calibri" w:hAnsi="Times New Roman" w:cs="Times New Roman"/>
      <w:sz w:val="24"/>
      <w:szCs w:val="20"/>
      <w:lang w:val="sq-AL" w:eastAsia="sq-AL"/>
    </w:rPr>
  </w:style>
  <w:style w:type="character" w:customStyle="1" w:styleId="ListParagraphChar">
    <w:name w:val="List Paragraph Char"/>
    <w:aliases w:val="List Paragraph (numbered (a)) Char,Normal 1 Char,Dot pt Char,List Paragraph1 Char,F5 List Paragraph Char,List Paragraph Char Char Char Char,Indicator Text Char,Numbered Para 1 Char,Bullet 1 Char,Bullet Points Char,MAIN CONTENT Char"/>
    <w:link w:val="ListParagraph1"/>
    <w:uiPriority w:val="34"/>
    <w:qFormat/>
    <w:locked/>
    <w:rsid w:val="00E50B1D"/>
    <w:rPr>
      <w:rFonts w:ascii="Times New Roman" w:eastAsia="Calibri" w:hAnsi="Times New Roman" w:cs="Times New Roman"/>
      <w:sz w:val="24"/>
      <w:szCs w:val="20"/>
      <w:lang w:val="sq-AL" w:eastAsia="sq-AL"/>
    </w:rPr>
  </w:style>
  <w:style w:type="paragraph" w:customStyle="1" w:styleId="BVIfnrCarCarCarCarChar">
    <w:name w:val="BVI fnr Car Car Car Car Char"/>
    <w:basedOn w:val="Normal"/>
    <w:uiPriority w:val="99"/>
    <w:rsid w:val="00E50B1D"/>
    <w:pPr>
      <w:spacing w:line="240" w:lineRule="exact"/>
    </w:pPr>
    <w:rPr>
      <w:rFonts w:ascii="Calibri" w:eastAsia="Calibri" w:hAnsi="Calibri" w:cs="Times New Roman"/>
      <w:sz w:val="20"/>
      <w:szCs w:val="20"/>
      <w:vertAlign w:val="superscript"/>
      <w:lang w:val="sq-AL" w:eastAsia="sq-AL"/>
    </w:rPr>
  </w:style>
  <w:style w:type="character" w:customStyle="1" w:styleId="BalloonTextChar">
    <w:name w:val="Balloon Text Char"/>
    <w:basedOn w:val="DefaultParagraphFont"/>
    <w:link w:val="BalloonText"/>
    <w:uiPriority w:val="99"/>
    <w:semiHidden/>
    <w:rsid w:val="00E50B1D"/>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E50B1D"/>
    <w:pPr>
      <w:spacing w:after="0" w:line="240" w:lineRule="auto"/>
    </w:pPr>
    <w:rPr>
      <w:rFonts w:ascii="Tahoma" w:eastAsia="Calibri" w:hAnsi="Tahoma" w:cs="Tahoma"/>
      <w:sz w:val="16"/>
      <w:szCs w:val="16"/>
      <w:lang w:val="en-US"/>
    </w:rPr>
  </w:style>
  <w:style w:type="character" w:customStyle="1" w:styleId="BodyTextChar">
    <w:name w:val="Body Text Char"/>
    <w:link w:val="BodyText"/>
    <w:rsid w:val="00E50B1D"/>
    <w:rPr>
      <w:rFonts w:ascii="Garamond" w:eastAsia="Garamond" w:hAnsi="Garamond" w:cs="Garamond"/>
      <w:sz w:val="24"/>
      <w:szCs w:val="24"/>
      <w:shd w:val="clear" w:color="auto" w:fill="FFFFFF"/>
    </w:rPr>
  </w:style>
  <w:style w:type="paragraph" w:styleId="BodyText">
    <w:name w:val="Body Text"/>
    <w:basedOn w:val="Normal"/>
    <w:link w:val="BodyTextChar"/>
    <w:qFormat/>
    <w:rsid w:val="00E50B1D"/>
    <w:pPr>
      <w:widowControl w:val="0"/>
      <w:shd w:val="clear" w:color="auto" w:fill="FFFFFF"/>
      <w:spacing w:after="0" w:line="240" w:lineRule="auto"/>
      <w:ind w:firstLine="300"/>
    </w:pPr>
    <w:rPr>
      <w:rFonts w:ascii="Garamond" w:eastAsia="Garamond" w:hAnsi="Garamond" w:cs="Garamond"/>
      <w:sz w:val="24"/>
      <w:szCs w:val="24"/>
    </w:rPr>
  </w:style>
  <w:style w:type="character" w:customStyle="1" w:styleId="BodyTextChar1">
    <w:name w:val="Body Text Char1"/>
    <w:basedOn w:val="DefaultParagraphFont"/>
    <w:uiPriority w:val="99"/>
    <w:semiHidden/>
    <w:rsid w:val="00E50B1D"/>
  </w:style>
  <w:style w:type="paragraph" w:styleId="TOCHeading">
    <w:name w:val="TOC Heading"/>
    <w:basedOn w:val="Heading1"/>
    <w:next w:val="Normal"/>
    <w:uiPriority w:val="39"/>
    <w:unhideWhenUsed/>
    <w:qFormat/>
    <w:rsid w:val="00E50B1D"/>
    <w:pPr>
      <w:numPr>
        <w:numId w:val="0"/>
      </w:numPr>
      <w:spacing w:before="480" w:line="276" w:lineRule="auto"/>
      <w:outlineLvl w:val="9"/>
    </w:pPr>
    <w:rPr>
      <w:rFonts w:asciiTheme="majorHAnsi" w:hAnsiTheme="majorHAnsi"/>
      <w:bCs/>
      <w:color w:val="2F5496" w:themeColor="accent1" w:themeShade="BF"/>
      <w:szCs w:val="28"/>
      <w:lang w:val="en-US"/>
    </w:rPr>
  </w:style>
  <w:style w:type="paragraph" w:styleId="TOC3">
    <w:name w:val="toc 3"/>
    <w:basedOn w:val="Normal"/>
    <w:next w:val="Normal"/>
    <w:autoRedefine/>
    <w:uiPriority w:val="39"/>
    <w:unhideWhenUsed/>
    <w:rsid w:val="00E50B1D"/>
    <w:pPr>
      <w:spacing w:after="100" w:line="240" w:lineRule="auto"/>
      <w:ind w:left="480"/>
    </w:pPr>
    <w:rPr>
      <w:rFonts w:ascii="Times New Roman" w:eastAsia="Calibri" w:hAnsi="Times New Roman" w:cs="Times New Roman"/>
      <w:sz w:val="24"/>
      <w:szCs w:val="24"/>
      <w:lang w:val="en-US"/>
    </w:rPr>
  </w:style>
  <w:style w:type="paragraph" w:styleId="TOC1">
    <w:name w:val="toc 1"/>
    <w:basedOn w:val="Normal"/>
    <w:next w:val="Normal"/>
    <w:autoRedefine/>
    <w:uiPriority w:val="39"/>
    <w:unhideWhenUsed/>
    <w:rsid w:val="00E50B1D"/>
    <w:pPr>
      <w:spacing w:after="100" w:line="240" w:lineRule="auto"/>
    </w:pPr>
    <w:rPr>
      <w:rFonts w:ascii="Times New Roman" w:eastAsia="Calibri" w:hAnsi="Times New Roman" w:cs="Times New Roman"/>
      <w:sz w:val="24"/>
      <w:szCs w:val="24"/>
      <w:lang w:val="en-US"/>
    </w:rPr>
  </w:style>
  <w:style w:type="character" w:customStyle="1" w:styleId="qlabel">
    <w:name w:val="qlabel"/>
    <w:basedOn w:val="DefaultParagraphFont"/>
    <w:rsid w:val="00E50B1D"/>
  </w:style>
  <w:style w:type="character" w:styleId="Emphasis">
    <w:name w:val="Emphasis"/>
    <w:qFormat/>
    <w:rsid w:val="00E50B1D"/>
    <w:rPr>
      <w:i/>
      <w:iCs/>
    </w:rPr>
  </w:style>
  <w:style w:type="paragraph" w:styleId="TOC2">
    <w:name w:val="toc 2"/>
    <w:basedOn w:val="Normal"/>
    <w:next w:val="Normal"/>
    <w:autoRedefine/>
    <w:uiPriority w:val="39"/>
    <w:unhideWhenUsed/>
    <w:rsid w:val="00E50B1D"/>
    <w:pPr>
      <w:tabs>
        <w:tab w:val="right" w:leader="dot" w:pos="9017"/>
      </w:tabs>
      <w:spacing w:after="0" w:line="240" w:lineRule="auto"/>
      <w:ind w:left="240"/>
    </w:pPr>
    <w:rPr>
      <w:rFonts w:ascii="Times New Roman" w:eastAsia="Calibri" w:hAnsi="Times New Roman" w:cs="Times New Roman"/>
      <w:b/>
      <w:noProof/>
      <w:sz w:val="24"/>
      <w:szCs w:val="24"/>
      <w:lang w:val="sq-AL"/>
    </w:rPr>
  </w:style>
  <w:style w:type="paragraph" w:styleId="Bibliography">
    <w:name w:val="Bibliography"/>
    <w:basedOn w:val="Normal"/>
    <w:next w:val="Normal"/>
    <w:uiPriority w:val="37"/>
    <w:unhideWhenUsed/>
    <w:rsid w:val="00E50B1D"/>
    <w:pPr>
      <w:spacing w:after="0" w:line="240" w:lineRule="auto"/>
    </w:pPr>
    <w:rPr>
      <w:rFonts w:ascii="Times New Roman" w:eastAsia="Calibri" w:hAnsi="Times New Roman" w:cs="Times New Roman"/>
      <w:sz w:val="24"/>
      <w:szCs w:val="24"/>
      <w:lang w:val="en-US"/>
    </w:rPr>
  </w:style>
  <w:style w:type="character" w:customStyle="1" w:styleId="hps">
    <w:name w:val="hps"/>
    <w:basedOn w:val="DefaultParagraphFont"/>
    <w:rsid w:val="00E50B1D"/>
  </w:style>
  <w:style w:type="character" w:customStyle="1" w:styleId="apple-converted-space">
    <w:name w:val="apple-converted-space"/>
    <w:basedOn w:val="DefaultParagraphFont"/>
    <w:rsid w:val="00E50B1D"/>
  </w:style>
  <w:style w:type="paragraph" w:customStyle="1" w:styleId="MediumGrid1-Accent21">
    <w:name w:val="Medium Grid 1 - Accent 21"/>
    <w:basedOn w:val="Normal"/>
    <w:uiPriority w:val="34"/>
    <w:qFormat/>
    <w:rsid w:val="00E50B1D"/>
    <w:pPr>
      <w:spacing w:after="0" w:line="240" w:lineRule="auto"/>
      <w:ind w:left="720"/>
      <w:contextualSpacing/>
    </w:pPr>
    <w:rPr>
      <w:rFonts w:ascii="Times New Roman" w:eastAsia="Calibri" w:hAnsi="Times New Roman" w:cs="Times New Roman"/>
      <w:sz w:val="24"/>
      <w:szCs w:val="24"/>
      <w:lang w:val="en-US"/>
    </w:rPr>
  </w:style>
  <w:style w:type="paragraph" w:styleId="HTMLPreformatted">
    <w:name w:val="HTML Preformatted"/>
    <w:basedOn w:val="Normal"/>
    <w:link w:val="HTMLPreformattedChar"/>
    <w:uiPriority w:val="99"/>
    <w:unhideWhenUsed/>
    <w:rsid w:val="00E5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sq-AL" w:eastAsia="sq-AL"/>
    </w:rPr>
  </w:style>
  <w:style w:type="character" w:customStyle="1" w:styleId="HTMLPreformattedChar">
    <w:name w:val="HTML Preformatted Char"/>
    <w:basedOn w:val="DefaultParagraphFont"/>
    <w:link w:val="HTMLPreformatted"/>
    <w:uiPriority w:val="99"/>
    <w:rsid w:val="00E50B1D"/>
    <w:rPr>
      <w:rFonts w:ascii="Courier New" w:eastAsia="Times New Roman" w:hAnsi="Courier New" w:cs="Times New Roman"/>
      <w:sz w:val="20"/>
      <w:szCs w:val="20"/>
      <w:lang w:val="sq-AL" w:eastAsia="sq-AL"/>
    </w:rPr>
  </w:style>
  <w:style w:type="paragraph" w:customStyle="1" w:styleId="NoSpacing2">
    <w:name w:val="No Spacing2"/>
    <w:qFormat/>
    <w:rsid w:val="00E50B1D"/>
    <w:pPr>
      <w:spacing w:after="200" w:line="276" w:lineRule="auto"/>
    </w:pPr>
    <w:rPr>
      <w:rFonts w:ascii="Times New Roman" w:eastAsia="Times New Roman" w:hAnsi="Times New Roman" w:cs="Times New Roman"/>
      <w:sz w:val="24"/>
      <w:szCs w:val="24"/>
      <w:lang w:val="en-US"/>
    </w:rPr>
  </w:style>
  <w:style w:type="character" w:customStyle="1" w:styleId="longtext1">
    <w:name w:val="long_text1"/>
    <w:rsid w:val="00E50B1D"/>
    <w:rPr>
      <w:sz w:val="20"/>
      <w:szCs w:val="20"/>
    </w:rPr>
  </w:style>
  <w:style w:type="character" w:customStyle="1" w:styleId="shorttext1">
    <w:name w:val="short_text1"/>
    <w:rsid w:val="00E50B1D"/>
    <w:rPr>
      <w:sz w:val="29"/>
      <w:szCs w:val="29"/>
    </w:rPr>
  </w:style>
  <w:style w:type="paragraph" w:customStyle="1" w:styleId="SingleTxtG">
    <w:name w:val="_ Single Txt_G"/>
    <w:basedOn w:val="Normal"/>
    <w:rsid w:val="00E50B1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Revision">
    <w:name w:val="Revision"/>
    <w:hidden/>
    <w:uiPriority w:val="99"/>
    <w:semiHidden/>
    <w:rsid w:val="00942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7174">
      <w:bodyDiv w:val="1"/>
      <w:marLeft w:val="0"/>
      <w:marRight w:val="0"/>
      <w:marTop w:val="0"/>
      <w:marBottom w:val="0"/>
      <w:divBdr>
        <w:top w:val="none" w:sz="0" w:space="0" w:color="auto"/>
        <w:left w:val="none" w:sz="0" w:space="0" w:color="auto"/>
        <w:bottom w:val="none" w:sz="0" w:space="0" w:color="auto"/>
        <w:right w:val="none" w:sz="0" w:space="0" w:color="auto"/>
      </w:divBdr>
    </w:div>
    <w:div w:id="231161185">
      <w:bodyDiv w:val="1"/>
      <w:marLeft w:val="0"/>
      <w:marRight w:val="0"/>
      <w:marTop w:val="0"/>
      <w:marBottom w:val="0"/>
      <w:divBdr>
        <w:top w:val="none" w:sz="0" w:space="0" w:color="auto"/>
        <w:left w:val="none" w:sz="0" w:space="0" w:color="auto"/>
        <w:bottom w:val="none" w:sz="0" w:space="0" w:color="auto"/>
        <w:right w:val="none" w:sz="0" w:space="0" w:color="auto"/>
      </w:divBdr>
    </w:div>
    <w:div w:id="407925973">
      <w:bodyDiv w:val="1"/>
      <w:marLeft w:val="0"/>
      <w:marRight w:val="0"/>
      <w:marTop w:val="0"/>
      <w:marBottom w:val="0"/>
      <w:divBdr>
        <w:top w:val="none" w:sz="0" w:space="0" w:color="auto"/>
        <w:left w:val="none" w:sz="0" w:space="0" w:color="auto"/>
        <w:bottom w:val="none" w:sz="0" w:space="0" w:color="auto"/>
        <w:right w:val="none" w:sz="0" w:space="0" w:color="auto"/>
      </w:divBdr>
    </w:div>
    <w:div w:id="565187540">
      <w:bodyDiv w:val="1"/>
      <w:marLeft w:val="0"/>
      <w:marRight w:val="0"/>
      <w:marTop w:val="0"/>
      <w:marBottom w:val="0"/>
      <w:divBdr>
        <w:top w:val="none" w:sz="0" w:space="0" w:color="auto"/>
        <w:left w:val="none" w:sz="0" w:space="0" w:color="auto"/>
        <w:bottom w:val="none" w:sz="0" w:space="0" w:color="auto"/>
        <w:right w:val="none" w:sz="0" w:space="0" w:color="auto"/>
      </w:divBdr>
    </w:div>
    <w:div w:id="575287917">
      <w:bodyDiv w:val="1"/>
      <w:marLeft w:val="0"/>
      <w:marRight w:val="0"/>
      <w:marTop w:val="0"/>
      <w:marBottom w:val="0"/>
      <w:divBdr>
        <w:top w:val="none" w:sz="0" w:space="0" w:color="auto"/>
        <w:left w:val="none" w:sz="0" w:space="0" w:color="auto"/>
        <w:bottom w:val="none" w:sz="0" w:space="0" w:color="auto"/>
        <w:right w:val="none" w:sz="0" w:space="0" w:color="auto"/>
      </w:divBdr>
    </w:div>
    <w:div w:id="612832484">
      <w:bodyDiv w:val="1"/>
      <w:marLeft w:val="0"/>
      <w:marRight w:val="0"/>
      <w:marTop w:val="0"/>
      <w:marBottom w:val="0"/>
      <w:divBdr>
        <w:top w:val="none" w:sz="0" w:space="0" w:color="auto"/>
        <w:left w:val="none" w:sz="0" w:space="0" w:color="auto"/>
        <w:bottom w:val="none" w:sz="0" w:space="0" w:color="auto"/>
        <w:right w:val="none" w:sz="0" w:space="0" w:color="auto"/>
      </w:divBdr>
    </w:div>
    <w:div w:id="647978705">
      <w:bodyDiv w:val="1"/>
      <w:marLeft w:val="0"/>
      <w:marRight w:val="0"/>
      <w:marTop w:val="0"/>
      <w:marBottom w:val="0"/>
      <w:divBdr>
        <w:top w:val="none" w:sz="0" w:space="0" w:color="auto"/>
        <w:left w:val="none" w:sz="0" w:space="0" w:color="auto"/>
        <w:bottom w:val="none" w:sz="0" w:space="0" w:color="auto"/>
        <w:right w:val="none" w:sz="0" w:space="0" w:color="auto"/>
      </w:divBdr>
    </w:div>
    <w:div w:id="664280451">
      <w:bodyDiv w:val="1"/>
      <w:marLeft w:val="0"/>
      <w:marRight w:val="0"/>
      <w:marTop w:val="0"/>
      <w:marBottom w:val="0"/>
      <w:divBdr>
        <w:top w:val="none" w:sz="0" w:space="0" w:color="auto"/>
        <w:left w:val="none" w:sz="0" w:space="0" w:color="auto"/>
        <w:bottom w:val="none" w:sz="0" w:space="0" w:color="auto"/>
        <w:right w:val="none" w:sz="0" w:space="0" w:color="auto"/>
      </w:divBdr>
    </w:div>
    <w:div w:id="820149352">
      <w:bodyDiv w:val="1"/>
      <w:marLeft w:val="0"/>
      <w:marRight w:val="0"/>
      <w:marTop w:val="0"/>
      <w:marBottom w:val="0"/>
      <w:divBdr>
        <w:top w:val="none" w:sz="0" w:space="0" w:color="auto"/>
        <w:left w:val="none" w:sz="0" w:space="0" w:color="auto"/>
        <w:bottom w:val="none" w:sz="0" w:space="0" w:color="auto"/>
        <w:right w:val="none" w:sz="0" w:space="0" w:color="auto"/>
      </w:divBdr>
    </w:div>
    <w:div w:id="1106972475">
      <w:bodyDiv w:val="1"/>
      <w:marLeft w:val="0"/>
      <w:marRight w:val="0"/>
      <w:marTop w:val="0"/>
      <w:marBottom w:val="0"/>
      <w:divBdr>
        <w:top w:val="none" w:sz="0" w:space="0" w:color="auto"/>
        <w:left w:val="none" w:sz="0" w:space="0" w:color="auto"/>
        <w:bottom w:val="none" w:sz="0" w:space="0" w:color="auto"/>
        <w:right w:val="none" w:sz="0" w:space="0" w:color="auto"/>
      </w:divBdr>
    </w:div>
    <w:div w:id="1129861519">
      <w:bodyDiv w:val="1"/>
      <w:marLeft w:val="0"/>
      <w:marRight w:val="0"/>
      <w:marTop w:val="0"/>
      <w:marBottom w:val="0"/>
      <w:divBdr>
        <w:top w:val="none" w:sz="0" w:space="0" w:color="auto"/>
        <w:left w:val="none" w:sz="0" w:space="0" w:color="auto"/>
        <w:bottom w:val="none" w:sz="0" w:space="0" w:color="auto"/>
        <w:right w:val="none" w:sz="0" w:space="0" w:color="auto"/>
      </w:divBdr>
    </w:div>
    <w:div w:id="1236552805">
      <w:bodyDiv w:val="1"/>
      <w:marLeft w:val="0"/>
      <w:marRight w:val="0"/>
      <w:marTop w:val="0"/>
      <w:marBottom w:val="0"/>
      <w:divBdr>
        <w:top w:val="none" w:sz="0" w:space="0" w:color="auto"/>
        <w:left w:val="none" w:sz="0" w:space="0" w:color="auto"/>
        <w:bottom w:val="none" w:sz="0" w:space="0" w:color="auto"/>
        <w:right w:val="none" w:sz="0" w:space="0" w:color="auto"/>
      </w:divBdr>
    </w:div>
    <w:div w:id="1258174336">
      <w:bodyDiv w:val="1"/>
      <w:marLeft w:val="0"/>
      <w:marRight w:val="0"/>
      <w:marTop w:val="0"/>
      <w:marBottom w:val="0"/>
      <w:divBdr>
        <w:top w:val="none" w:sz="0" w:space="0" w:color="auto"/>
        <w:left w:val="none" w:sz="0" w:space="0" w:color="auto"/>
        <w:bottom w:val="none" w:sz="0" w:space="0" w:color="auto"/>
        <w:right w:val="none" w:sz="0" w:space="0" w:color="auto"/>
      </w:divBdr>
    </w:div>
    <w:div w:id="1274019931">
      <w:bodyDiv w:val="1"/>
      <w:marLeft w:val="0"/>
      <w:marRight w:val="0"/>
      <w:marTop w:val="0"/>
      <w:marBottom w:val="0"/>
      <w:divBdr>
        <w:top w:val="none" w:sz="0" w:space="0" w:color="auto"/>
        <w:left w:val="none" w:sz="0" w:space="0" w:color="auto"/>
        <w:bottom w:val="none" w:sz="0" w:space="0" w:color="auto"/>
        <w:right w:val="none" w:sz="0" w:space="0" w:color="auto"/>
      </w:divBdr>
    </w:div>
    <w:div w:id="1299335372">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565797596">
      <w:bodyDiv w:val="1"/>
      <w:marLeft w:val="0"/>
      <w:marRight w:val="0"/>
      <w:marTop w:val="0"/>
      <w:marBottom w:val="0"/>
      <w:divBdr>
        <w:top w:val="none" w:sz="0" w:space="0" w:color="auto"/>
        <w:left w:val="none" w:sz="0" w:space="0" w:color="auto"/>
        <w:bottom w:val="none" w:sz="0" w:space="0" w:color="auto"/>
        <w:right w:val="none" w:sz="0" w:space="0" w:color="auto"/>
      </w:divBdr>
    </w:div>
    <w:div w:id="1616785208">
      <w:bodyDiv w:val="1"/>
      <w:marLeft w:val="0"/>
      <w:marRight w:val="0"/>
      <w:marTop w:val="0"/>
      <w:marBottom w:val="0"/>
      <w:divBdr>
        <w:top w:val="none" w:sz="0" w:space="0" w:color="auto"/>
        <w:left w:val="none" w:sz="0" w:space="0" w:color="auto"/>
        <w:bottom w:val="none" w:sz="0" w:space="0" w:color="auto"/>
        <w:right w:val="none" w:sz="0" w:space="0" w:color="auto"/>
      </w:divBdr>
    </w:div>
    <w:div w:id="1692029348">
      <w:bodyDiv w:val="1"/>
      <w:marLeft w:val="0"/>
      <w:marRight w:val="0"/>
      <w:marTop w:val="0"/>
      <w:marBottom w:val="0"/>
      <w:divBdr>
        <w:top w:val="none" w:sz="0" w:space="0" w:color="auto"/>
        <w:left w:val="none" w:sz="0" w:space="0" w:color="auto"/>
        <w:bottom w:val="none" w:sz="0" w:space="0" w:color="auto"/>
        <w:right w:val="none" w:sz="0" w:space="0" w:color="auto"/>
      </w:divBdr>
    </w:div>
    <w:div w:id="1717849752">
      <w:bodyDiv w:val="1"/>
      <w:marLeft w:val="0"/>
      <w:marRight w:val="0"/>
      <w:marTop w:val="0"/>
      <w:marBottom w:val="0"/>
      <w:divBdr>
        <w:top w:val="none" w:sz="0" w:space="0" w:color="auto"/>
        <w:left w:val="none" w:sz="0" w:space="0" w:color="auto"/>
        <w:bottom w:val="none" w:sz="0" w:space="0" w:color="auto"/>
        <w:right w:val="none" w:sz="0" w:space="0" w:color="auto"/>
      </w:divBdr>
    </w:div>
    <w:div w:id="1732800950">
      <w:bodyDiv w:val="1"/>
      <w:marLeft w:val="0"/>
      <w:marRight w:val="0"/>
      <w:marTop w:val="0"/>
      <w:marBottom w:val="0"/>
      <w:divBdr>
        <w:top w:val="none" w:sz="0" w:space="0" w:color="auto"/>
        <w:left w:val="none" w:sz="0" w:space="0" w:color="auto"/>
        <w:bottom w:val="none" w:sz="0" w:space="0" w:color="auto"/>
        <w:right w:val="none" w:sz="0" w:space="0" w:color="auto"/>
      </w:divBdr>
    </w:div>
    <w:div w:id="1791974394">
      <w:bodyDiv w:val="1"/>
      <w:marLeft w:val="0"/>
      <w:marRight w:val="0"/>
      <w:marTop w:val="0"/>
      <w:marBottom w:val="0"/>
      <w:divBdr>
        <w:top w:val="none" w:sz="0" w:space="0" w:color="auto"/>
        <w:left w:val="none" w:sz="0" w:space="0" w:color="auto"/>
        <w:bottom w:val="none" w:sz="0" w:space="0" w:color="auto"/>
        <w:right w:val="none" w:sz="0" w:space="0" w:color="auto"/>
      </w:divBdr>
    </w:div>
    <w:div w:id="1844664680">
      <w:bodyDiv w:val="1"/>
      <w:marLeft w:val="0"/>
      <w:marRight w:val="0"/>
      <w:marTop w:val="0"/>
      <w:marBottom w:val="0"/>
      <w:divBdr>
        <w:top w:val="none" w:sz="0" w:space="0" w:color="auto"/>
        <w:left w:val="none" w:sz="0" w:space="0" w:color="auto"/>
        <w:bottom w:val="none" w:sz="0" w:space="0" w:color="auto"/>
        <w:right w:val="none" w:sz="0" w:space="0" w:color="auto"/>
      </w:divBdr>
    </w:div>
    <w:div w:id="1954364570">
      <w:bodyDiv w:val="1"/>
      <w:marLeft w:val="0"/>
      <w:marRight w:val="0"/>
      <w:marTop w:val="0"/>
      <w:marBottom w:val="0"/>
      <w:divBdr>
        <w:top w:val="none" w:sz="0" w:space="0" w:color="auto"/>
        <w:left w:val="none" w:sz="0" w:space="0" w:color="auto"/>
        <w:bottom w:val="none" w:sz="0" w:space="0" w:color="auto"/>
        <w:right w:val="none" w:sz="0" w:space="0" w:color="auto"/>
      </w:divBdr>
      <w:divsChild>
        <w:div w:id="588777612">
          <w:marLeft w:val="0"/>
          <w:marRight w:val="0"/>
          <w:marTop w:val="0"/>
          <w:marBottom w:val="0"/>
          <w:divBdr>
            <w:top w:val="none" w:sz="0" w:space="0" w:color="auto"/>
            <w:left w:val="none" w:sz="0" w:space="0" w:color="auto"/>
            <w:bottom w:val="none" w:sz="0" w:space="0" w:color="auto"/>
            <w:right w:val="none" w:sz="0" w:space="0" w:color="auto"/>
          </w:divBdr>
        </w:div>
        <w:div w:id="1593202607">
          <w:marLeft w:val="0"/>
          <w:marRight w:val="0"/>
          <w:marTop w:val="0"/>
          <w:marBottom w:val="0"/>
          <w:divBdr>
            <w:top w:val="none" w:sz="0" w:space="0" w:color="auto"/>
            <w:left w:val="none" w:sz="0" w:space="0" w:color="auto"/>
            <w:bottom w:val="none" w:sz="0" w:space="0" w:color="auto"/>
            <w:right w:val="none" w:sz="0" w:space="0" w:color="auto"/>
          </w:divBdr>
        </w:div>
        <w:div w:id="15349047">
          <w:marLeft w:val="0"/>
          <w:marRight w:val="0"/>
          <w:marTop w:val="0"/>
          <w:marBottom w:val="0"/>
          <w:divBdr>
            <w:top w:val="none" w:sz="0" w:space="0" w:color="auto"/>
            <w:left w:val="none" w:sz="0" w:space="0" w:color="auto"/>
            <w:bottom w:val="none" w:sz="0" w:space="0" w:color="auto"/>
            <w:right w:val="none" w:sz="0" w:space="0" w:color="auto"/>
          </w:divBdr>
        </w:div>
        <w:div w:id="318340372">
          <w:marLeft w:val="0"/>
          <w:marRight w:val="0"/>
          <w:marTop w:val="0"/>
          <w:marBottom w:val="0"/>
          <w:divBdr>
            <w:top w:val="none" w:sz="0" w:space="0" w:color="auto"/>
            <w:left w:val="none" w:sz="0" w:space="0" w:color="auto"/>
            <w:bottom w:val="none" w:sz="0" w:space="0" w:color="auto"/>
            <w:right w:val="none" w:sz="0" w:space="0" w:color="auto"/>
          </w:divBdr>
        </w:div>
        <w:div w:id="153034443">
          <w:marLeft w:val="0"/>
          <w:marRight w:val="0"/>
          <w:marTop w:val="0"/>
          <w:marBottom w:val="0"/>
          <w:divBdr>
            <w:top w:val="none" w:sz="0" w:space="0" w:color="auto"/>
            <w:left w:val="none" w:sz="0" w:space="0" w:color="auto"/>
            <w:bottom w:val="none" w:sz="0" w:space="0" w:color="auto"/>
            <w:right w:val="none" w:sz="0" w:space="0" w:color="auto"/>
          </w:divBdr>
        </w:div>
      </w:divsChild>
    </w:div>
    <w:div w:id="20523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databaza.instat.gov.al/pxweb/en/DST/?rxid=39215f95-a5cb-4284-982c-b7fdec668c08" TargetMode="External"/><Relationship Id="rId2" Type="http://schemas.openxmlformats.org/officeDocument/2006/relationships/hyperlink" Target="http://www.instat.gov.al/media/6123/publication-violence-against-women.pdf" TargetMode="External"/><Relationship Id="rId1" Type="http://schemas.openxmlformats.org/officeDocument/2006/relationships/hyperlink" Target="https://rm.coe.int/grevio-first-baseline-report-on-albania/16807688a7" TargetMode="External"/><Relationship Id="rId4" Type="http://schemas.openxmlformats.org/officeDocument/2006/relationships/hyperlink" Target="http://www.instat.gov.al/media/7376/burra-dhe-gra-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A9A7-F8C6-E940-B7CB-4BD82A74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47</Pages>
  <Words>19694</Words>
  <Characters>112260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 Goy</dc:creator>
  <cp:lastModifiedBy>Monika Kocaqi</cp:lastModifiedBy>
  <cp:revision>29</cp:revision>
  <dcterms:created xsi:type="dcterms:W3CDTF">2021-06-29T23:11:00Z</dcterms:created>
  <dcterms:modified xsi:type="dcterms:W3CDTF">2021-06-30T05:27:00Z</dcterms:modified>
</cp:coreProperties>
</file>