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D3" w:rsidRPr="00904C80" w:rsidRDefault="007066D3" w:rsidP="007066D3">
      <w:pPr>
        <w:rPr>
          <w:rFonts w:ascii="Times New Roman" w:hAnsi="Times New Roman"/>
          <w:b/>
          <w:noProof/>
          <w:sz w:val="24"/>
          <w:szCs w:val="24"/>
        </w:rPr>
      </w:pPr>
      <w:r w:rsidRPr="00904C80">
        <w:rPr>
          <w:rFonts w:ascii="Times New Roman" w:hAnsi="Times New Roman"/>
          <w:b/>
          <w:noProof/>
          <w:sz w:val="24"/>
          <w:szCs w:val="24"/>
        </w:rPr>
        <w:t>KUJDESJET SHËNDETSORE MENDORE</w:t>
      </w:r>
    </w:p>
    <w:p w:rsidR="007066D3" w:rsidRPr="00904C80" w:rsidRDefault="007066D3" w:rsidP="007066D3">
      <w:pPr>
        <w:spacing w:after="0" w:line="276" w:lineRule="auto"/>
        <w:ind w:left="27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Mendor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pjesë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përbërëse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DSHP-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Drejtoria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Publik</w:t>
      </w:r>
      <w:proofErr w:type="spellEnd"/>
      <w:r w:rsidRPr="00904C80">
        <w:rPr>
          <w:rFonts w:ascii="Times New Roman" w:hAnsi="Times New Roman"/>
          <w:sz w:val="24"/>
          <w:szCs w:val="24"/>
        </w:rPr>
        <w:t>)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KSHP-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Kujdesi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sz w:val="24"/>
          <w:szCs w:val="24"/>
        </w:rPr>
        <w:t>)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ISHP-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Instituti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Publik</w:t>
      </w:r>
      <w:proofErr w:type="spellEnd"/>
      <w:r w:rsidRPr="00904C80">
        <w:rPr>
          <w:rFonts w:ascii="Times New Roman" w:hAnsi="Times New Roman"/>
          <w:sz w:val="24"/>
          <w:szCs w:val="24"/>
        </w:rPr>
        <w:t>)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MSH –së (Ministria e Shëndetësisë)</w:t>
      </w:r>
    </w:p>
    <w:p w:rsidR="007066D3" w:rsidRPr="00904C80" w:rsidRDefault="007066D3" w:rsidP="007066D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Qëllimi i shërbimit të kujdesjeve për  shëndetin mendor i ofruar nga QSH-ja (Qendrat Shëndetësore) duhet të synojë: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Që individët të kthehen në gjendjen e tyre të plotë funksionale, duke identifikuar dhe menaxhuar problemet e shëndetit mendor 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izolojë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detyrë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QSH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QSH (</w:t>
      </w:r>
      <w:proofErr w:type="spellStart"/>
      <w:r w:rsidRPr="00904C80">
        <w:rPr>
          <w:rFonts w:ascii="Times New Roman" w:hAnsi="Times New Roman"/>
          <w:sz w:val="24"/>
          <w:szCs w:val="24"/>
        </w:rPr>
        <w:t>Qendrat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04C80">
        <w:rPr>
          <w:rFonts w:ascii="Times New Roman" w:hAnsi="Times New Roman"/>
          <w:sz w:val="24"/>
          <w:szCs w:val="24"/>
        </w:rPr>
        <w:t>bashkëpunon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organizma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tjera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komunitet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pushtet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lokal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institucione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fetare</w:t>
      </w:r>
      <w:proofErr w:type="spellEnd"/>
      <w:r w:rsidRPr="00904C80">
        <w:rPr>
          <w:rFonts w:ascii="Times New Roman" w:hAnsi="Times New Roman"/>
          <w:sz w:val="24"/>
          <w:szCs w:val="24"/>
        </w:rPr>
        <w:t>, OJF (</w:t>
      </w:r>
      <w:proofErr w:type="spellStart"/>
      <w:r w:rsidRPr="00904C80">
        <w:rPr>
          <w:rFonts w:ascii="Times New Roman" w:hAnsi="Times New Roman"/>
          <w:sz w:val="24"/>
          <w:szCs w:val="24"/>
        </w:rPr>
        <w:t>Organizata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904C80">
        <w:rPr>
          <w:rFonts w:ascii="Times New Roman" w:hAnsi="Times New Roman"/>
          <w:sz w:val="24"/>
          <w:szCs w:val="24"/>
        </w:rPr>
        <w:t>Fitimprurëse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04C80">
        <w:rPr>
          <w:rFonts w:ascii="Times New Roman" w:hAnsi="Times New Roman"/>
          <w:sz w:val="24"/>
          <w:szCs w:val="24"/>
        </w:rPr>
        <w:t>etj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siguruar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mbështetje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mendor</w:t>
      </w:r>
      <w:proofErr w:type="spellEnd"/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vërtetë</w:t>
      </w:r>
      <w:proofErr w:type="spellEnd"/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nёn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terapi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antidepresivё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pёr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konstipacion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gjykon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gjendjen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04C80">
        <w:rPr>
          <w:rFonts w:ascii="Times New Roman" w:hAnsi="Times New Roman"/>
          <w:sz w:val="24"/>
          <w:szCs w:val="24"/>
        </w:rPr>
        <w:t>pёrdorur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menduarit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kritik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mёposhtmet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shembulli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mirё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gjykimit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Konstipacioni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efekt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anёsor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terapisё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antidepresivё</w:t>
      </w:r>
      <w:proofErr w:type="spellEnd"/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Megjithёse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konstipacioni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efekt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shpeshtё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anёsor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por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qёnё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kёtё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terapi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pёr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muaj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tani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? Me </w:t>
      </w:r>
      <w:proofErr w:type="spellStart"/>
      <w:r w:rsidRPr="00904C80">
        <w:rPr>
          <w:rFonts w:ascii="Times New Roman" w:hAnsi="Times New Roman"/>
          <w:sz w:val="24"/>
          <w:szCs w:val="24"/>
        </w:rPr>
        <w:t>duket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se e </w:t>
      </w:r>
      <w:proofErr w:type="spellStart"/>
      <w:r w:rsidRPr="00904C80">
        <w:rPr>
          <w:rFonts w:ascii="Times New Roman" w:hAnsi="Times New Roman"/>
          <w:sz w:val="24"/>
          <w:szCs w:val="24"/>
        </w:rPr>
        <w:t>bёn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pёr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kёrkuar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vёmendje</w:t>
      </w:r>
      <w:proofErr w:type="spellEnd"/>
      <w:r w:rsidRPr="00904C80">
        <w:rPr>
          <w:rFonts w:ascii="Times New Roman" w:hAnsi="Times New Roman"/>
          <w:sz w:val="24"/>
          <w:szCs w:val="24"/>
        </w:rPr>
        <w:t>.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Klienti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kohёs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kjo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ankesa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rradhёs</w:t>
      </w:r>
      <w:proofErr w:type="spellEnd"/>
      <w:r w:rsidRPr="00904C80">
        <w:rPr>
          <w:rFonts w:ascii="Times New Roman" w:hAnsi="Times New Roman"/>
          <w:sz w:val="24"/>
          <w:szCs w:val="24"/>
        </w:rPr>
        <w:t>.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Konstipacioni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vazhdueshëm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ёshtё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rrezikshёm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shkaktojё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bllokim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ileusit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ileus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paralitik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Një infermiere po bisedon me një të moshuar që shfaq shenja të demencës. Shkaku më i shpeshtë i demencës tek të moshuarit është:</w:t>
      </w:r>
    </w:p>
    <w:p w:rsidR="007066D3" w:rsidRPr="00904C80" w:rsidRDefault="007066D3" w:rsidP="007066D3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Deliriumi</w:t>
      </w:r>
    </w:p>
    <w:p w:rsidR="007066D3" w:rsidRPr="00904C80" w:rsidRDefault="007066D3" w:rsidP="007066D3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Depresioni</w:t>
      </w:r>
    </w:p>
    <w:p w:rsidR="007066D3" w:rsidRPr="00904C80" w:rsidRDefault="007066D3" w:rsidP="007066D3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Përdorimi i medikamenteve me shumicë</w:t>
      </w:r>
    </w:p>
    <w:p w:rsidR="007066D3" w:rsidRPr="00904C80" w:rsidRDefault="007066D3" w:rsidP="007066D3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Sëmundja Alzheimer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lastRenderedPageBreak/>
        <w:t>Një adoleshent paraqet shenja që tregojnë se ai ka qëllim të vetëvritet. Infermieri e di që këto raste duhet të: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Trajtohen menjëherë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 xml:space="preserve">Dërgohen në shtëpi ku ka mbështetje 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Referohen menjëherë në klinika të specializuara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 xml:space="preserve">Dokumentohen shenjat 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Një pacient vjen në ambulancë dhe referon se ai ka aftësi të shohë valët e radios të dërguar nga alienët sepse ata kanë vendosur një aparat në trurin e tij. Infermieri e dokumenton këtë sjellje si: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Një halucinacion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E lidhur me realitetin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 xml:space="preserve">Një iluzion 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Një deluzion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  <w:lang w:val="it-IT"/>
        </w:rPr>
      </w:pPr>
      <w:r w:rsidRPr="00904C80">
        <w:rPr>
          <w:rFonts w:ascii="Times New Roman" w:hAnsi="Times New Roman"/>
          <w:noProof/>
          <w:sz w:val="24"/>
          <w:szCs w:val="24"/>
          <w:lang w:val="it-IT"/>
        </w:rPr>
        <w:t>Cila është mënyra më e mirë e komunikimit të infermieres me një person me dëmtime konjitive: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  <w:lang w:val="it-IT"/>
        </w:rPr>
      </w:pPr>
      <w:r w:rsidRPr="00904C80">
        <w:rPr>
          <w:rFonts w:ascii="Times New Roman" w:hAnsi="Times New Roman"/>
          <w:noProof/>
          <w:sz w:val="24"/>
          <w:szCs w:val="24"/>
          <w:lang w:val="it-IT"/>
        </w:rPr>
        <w:t>Të flasë më zë të lartë dhe saktë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flasë thjeshtë dhe direkt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  <w:lang w:val="it-IT"/>
        </w:rPr>
      </w:pPr>
      <w:r w:rsidRPr="00904C80">
        <w:rPr>
          <w:rFonts w:ascii="Times New Roman" w:hAnsi="Times New Roman"/>
          <w:noProof/>
          <w:sz w:val="24"/>
          <w:szCs w:val="24"/>
          <w:lang w:val="it-IT"/>
        </w:rPr>
        <w:t>Sa më pak fjalë të jetë e mundur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flasë me shënja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  <w:lang w:val="it-IT"/>
        </w:rPr>
      </w:pPr>
      <w:r w:rsidRPr="00904C80">
        <w:rPr>
          <w:rFonts w:ascii="Times New Roman" w:hAnsi="Times New Roman"/>
          <w:noProof/>
          <w:sz w:val="24"/>
          <w:szCs w:val="24"/>
          <w:lang w:val="it-IT"/>
        </w:rPr>
        <w:t>Cili është prioriteti primar i një infermieri që po kujdeset për një të moshuar me demencë: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parandalojë avancimin e sëmundjes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gjejë një vend ku qëndrojnë këta të sëmurë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mbështesë familjarët që kujdesen për pacientin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parandalojë dëmtimin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  <w:lang w:val="it-IT"/>
        </w:rPr>
      </w:pPr>
      <w:r w:rsidRPr="00904C80">
        <w:rPr>
          <w:rFonts w:ascii="Times New Roman" w:hAnsi="Times New Roman"/>
          <w:noProof/>
          <w:sz w:val="24"/>
          <w:szCs w:val="24"/>
        </w:rPr>
        <w:t xml:space="preserve">Një i moshuar paraqitet në ambulanë. Infermieri kupton se pacienti është konfuz dhe shpjegimi e historisë është e paqartë. </w:t>
      </w:r>
      <w:r w:rsidRPr="00904C80">
        <w:rPr>
          <w:rFonts w:ascii="Times New Roman" w:hAnsi="Times New Roman"/>
          <w:noProof/>
          <w:sz w:val="24"/>
          <w:szCs w:val="24"/>
          <w:lang w:val="it-IT"/>
        </w:rPr>
        <w:t>Infermieri e di se sipas kritereve të vendosuara  ky pacient: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Do të referohet tek specialisti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Do të qëndrojë në shtëpi nën survejim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Mund të vazhdojë jetën i qetë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Kërkon një familjar që të shpjegojë domethënien e fjalëve të pacientit</w:t>
      </w:r>
    </w:p>
    <w:p w:rsidR="007066D3" w:rsidRPr="00904C80" w:rsidRDefault="007066D3" w:rsidP="007066D3">
      <w:pPr>
        <w:pStyle w:val="ListParagraph"/>
        <w:spacing w:after="0" w:line="276" w:lineRule="auto"/>
        <w:ind w:left="1440"/>
        <w:rPr>
          <w:rFonts w:ascii="Times New Roman" w:hAnsi="Times New Roman"/>
          <w:noProof/>
          <w:sz w:val="24"/>
          <w:szCs w:val="24"/>
        </w:rPr>
      </w:pPr>
    </w:p>
    <w:p w:rsidR="007066D3" w:rsidRPr="00904C80" w:rsidRDefault="007066D3" w:rsidP="007066D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Cila nga ndërhyrjet infermierore do të mbështesë mjaftueshëm funksionin mendor të një pacienti me demencë: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Të kryejë aktivitete stimuluese dhe domethënëse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lastRenderedPageBreak/>
        <w:t xml:space="preserve">T’i rikujtojë pacientit ngjarjet e harruara  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904C80">
        <w:rPr>
          <w:rFonts w:ascii="Times New Roman" w:hAnsi="Times New Roman"/>
          <w:noProof/>
          <w:sz w:val="24"/>
          <w:szCs w:val="24"/>
        </w:rPr>
        <w:t>Orientojë pacientin me realitetin</w:t>
      </w:r>
    </w:p>
    <w:p w:rsidR="007066D3" w:rsidRPr="00904C80" w:rsidRDefault="007066D3" w:rsidP="007066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noProof/>
          <w:sz w:val="24"/>
          <w:szCs w:val="24"/>
          <w:lang w:val="it-IT"/>
        </w:rPr>
      </w:pPr>
      <w:r w:rsidRPr="00904C80">
        <w:rPr>
          <w:rFonts w:ascii="Times New Roman" w:hAnsi="Times New Roman"/>
          <w:noProof/>
          <w:sz w:val="24"/>
          <w:szCs w:val="24"/>
          <w:lang w:val="it-IT"/>
        </w:rPr>
        <w:t>Të izolojë pacientin kur është i irrituar</w:t>
      </w:r>
    </w:p>
    <w:p w:rsidR="007066D3" w:rsidRPr="00904C80" w:rsidRDefault="007066D3" w:rsidP="007066D3">
      <w:pPr>
        <w:pStyle w:val="ListParagraph"/>
        <w:spacing w:after="0" w:line="276" w:lineRule="auto"/>
        <w:ind w:left="630"/>
        <w:rPr>
          <w:rFonts w:ascii="Times New Roman" w:hAnsi="Times New Roman"/>
          <w:noProof/>
          <w:sz w:val="24"/>
          <w:szCs w:val="24"/>
          <w:lang w:val="it-IT"/>
        </w:rPr>
      </w:pPr>
    </w:p>
    <w:p w:rsidR="00065B47" w:rsidRDefault="007066D3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8AE"/>
    <w:multiLevelType w:val="hybridMultilevel"/>
    <w:tmpl w:val="FFA8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8A0"/>
    <w:rsid w:val="002B6946"/>
    <w:rsid w:val="007066D3"/>
    <w:rsid w:val="00DB72FE"/>
    <w:rsid w:val="00E078A0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>Grizli777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2015-09-04T17:42:00Z</dcterms:created>
  <dcterms:modified xsi:type="dcterms:W3CDTF">2015-09-04T17:42:00Z</dcterms:modified>
</cp:coreProperties>
</file>