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C4B51" w14:textId="47C3BAE9" w:rsidR="006F7B61" w:rsidRPr="002412A3" w:rsidRDefault="006D2B17" w:rsidP="00E8414A">
      <w:pPr>
        <w:rPr>
          <w:rFonts w:ascii="Calibri" w:eastAsia="MS Mincho" w:hAnsi="Calibri" w:cs="Times New Roman"/>
          <w:lang w:val="sq-AL"/>
        </w:rPr>
      </w:pPr>
      <w:bookmarkStart w:id="0" w:name="_Toc24353532"/>
      <w:bookmarkStart w:id="1" w:name="_Toc25596344"/>
      <w:r w:rsidRPr="006F7B61">
        <w:rPr>
          <w:rFonts w:ascii="Times New Roman" w:eastAsia="Times New Roman" w:hAnsi="Times New Roman" w:cs="Times New Roman"/>
          <w:b/>
          <w:bCs/>
          <w:color w:val="002060"/>
          <w:sz w:val="28"/>
          <w:szCs w:val="22"/>
          <w:lang w:val="sq-AL"/>
        </w:rPr>
        <w:t xml:space="preserve">PLANI I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2"/>
          <w:lang w:val="sq-AL"/>
        </w:rPr>
        <w:t>MASAVE</w:t>
      </w:r>
      <w:r w:rsidRPr="006F7B61">
        <w:rPr>
          <w:rFonts w:ascii="Times New Roman" w:eastAsia="Times New Roman" w:hAnsi="Times New Roman" w:cs="Times New Roman"/>
          <w:b/>
          <w:bCs/>
          <w:color w:val="002060"/>
          <w:sz w:val="28"/>
          <w:szCs w:val="22"/>
          <w:lang w:val="sq-AL"/>
        </w:rPr>
        <w:t xml:space="preserve"> PËR ZBATIMIN E PROGRAMIT TË DALJES NGA SKEMA E NE</w:t>
      </w:r>
      <w:bookmarkEnd w:id="0"/>
      <w:r w:rsidRPr="006F7B61">
        <w:rPr>
          <w:rFonts w:ascii="Times New Roman" w:eastAsia="Times New Roman" w:hAnsi="Times New Roman" w:cs="Times New Roman"/>
          <w:b/>
          <w:bCs/>
          <w:color w:val="002060"/>
          <w:sz w:val="28"/>
          <w:szCs w:val="22"/>
          <w:lang w:val="sq-AL"/>
        </w:rPr>
        <w:t xml:space="preserve"> 2020 – 2022</w:t>
      </w:r>
      <w:bookmarkEnd w:id="1"/>
    </w:p>
    <w:tbl>
      <w:tblPr>
        <w:tblpPr w:leftFromText="180" w:rightFromText="180" w:vertAnchor="page" w:horzAnchor="margin" w:tblpXSpec="center" w:tblpY="1786"/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73"/>
        <w:gridCol w:w="25"/>
        <w:gridCol w:w="678"/>
        <w:gridCol w:w="3210"/>
        <w:gridCol w:w="10"/>
        <w:gridCol w:w="1610"/>
        <w:gridCol w:w="10"/>
        <w:gridCol w:w="1373"/>
        <w:gridCol w:w="1431"/>
        <w:gridCol w:w="7"/>
        <w:gridCol w:w="1967"/>
        <w:gridCol w:w="14"/>
        <w:gridCol w:w="1810"/>
        <w:gridCol w:w="10"/>
      </w:tblGrid>
      <w:tr w:rsidR="00323A7E" w:rsidRPr="006F7B61" w14:paraId="0F381117" w14:textId="77777777" w:rsidTr="00B35964">
        <w:trPr>
          <w:trHeight w:val="636"/>
          <w:tblHeader/>
        </w:trPr>
        <w:tc>
          <w:tcPr>
            <w:tcW w:w="2877" w:type="dxa"/>
            <w:gridSpan w:val="3"/>
            <w:shd w:val="clear" w:color="auto" w:fill="2E74B5" w:themeFill="accent5" w:themeFillShade="BF"/>
            <w:vAlign w:val="center"/>
            <w:hideMark/>
          </w:tcPr>
          <w:p w14:paraId="0692590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lang w:val="it-IT"/>
              </w:rPr>
            </w:pPr>
          </w:p>
          <w:p w14:paraId="376E9CB7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Masat</w:t>
            </w:r>
          </w:p>
        </w:tc>
        <w:tc>
          <w:tcPr>
            <w:tcW w:w="3899" w:type="dxa"/>
            <w:gridSpan w:val="3"/>
            <w:shd w:val="clear" w:color="auto" w:fill="2E74B5" w:themeFill="accent5" w:themeFillShade="BF"/>
            <w:vAlign w:val="center"/>
            <w:hideMark/>
          </w:tcPr>
          <w:p w14:paraId="297EE84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 xml:space="preserve"> Aktivitetet  </w:t>
            </w:r>
          </w:p>
        </w:tc>
        <w:tc>
          <w:tcPr>
            <w:tcW w:w="1620" w:type="dxa"/>
            <w:gridSpan w:val="2"/>
            <w:shd w:val="clear" w:color="auto" w:fill="2E74B5" w:themeFill="accent5" w:themeFillShade="BF"/>
            <w:vAlign w:val="center"/>
            <w:hideMark/>
          </w:tcPr>
          <w:p w14:paraId="04A1D6CB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Produkti</w:t>
            </w:r>
          </w:p>
        </w:tc>
        <w:tc>
          <w:tcPr>
            <w:tcW w:w="1373" w:type="dxa"/>
            <w:shd w:val="clear" w:color="auto" w:fill="2E74B5" w:themeFill="accent5" w:themeFillShade="BF"/>
            <w:hideMark/>
          </w:tcPr>
          <w:p w14:paraId="4FB9EBE8" w14:textId="77777777" w:rsidR="00323A7E" w:rsidRPr="006F7B61" w:rsidRDefault="00323A7E" w:rsidP="00B35964">
            <w:pPr>
              <w:rPr>
                <w:rFonts w:ascii="Times New Roman" w:eastAsia="MS Mincho" w:hAnsi="Times New Roman" w:cs="Times New Roman"/>
                <w:b/>
                <w:bCs/>
                <w:color w:val="FFFFFF"/>
                <w:sz w:val="18"/>
                <w:szCs w:val="20"/>
                <w:lang w:val="sq-AL"/>
              </w:rPr>
            </w:pPr>
            <w:r w:rsidRPr="006F7B61">
              <w:rPr>
                <w:rFonts w:ascii="Times New Roman" w:eastAsia="MS Mincho" w:hAnsi="Times New Roman" w:cs="Times New Roman"/>
                <w:b/>
                <w:bCs/>
                <w:color w:val="FFFFFF"/>
                <w:sz w:val="18"/>
                <w:szCs w:val="20"/>
                <w:lang w:val="sq-AL"/>
              </w:rPr>
              <w:t>Institucioni pergjegjes</w:t>
            </w:r>
          </w:p>
        </w:tc>
        <w:tc>
          <w:tcPr>
            <w:tcW w:w="1438" w:type="dxa"/>
            <w:gridSpan w:val="2"/>
            <w:shd w:val="clear" w:color="auto" w:fill="2E74B5" w:themeFill="accent5" w:themeFillShade="BF"/>
            <w:vAlign w:val="center"/>
            <w:hideMark/>
          </w:tcPr>
          <w:p w14:paraId="3F866633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 xml:space="preserve">Mbarimi </w:t>
            </w:r>
          </w:p>
        </w:tc>
        <w:tc>
          <w:tcPr>
            <w:tcW w:w="1981" w:type="dxa"/>
            <w:gridSpan w:val="2"/>
            <w:shd w:val="clear" w:color="auto" w:fill="2E74B5" w:themeFill="accent5" w:themeFillShade="BF"/>
            <w:vAlign w:val="center"/>
            <w:hideMark/>
          </w:tcPr>
          <w:p w14:paraId="220B7D75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>Kostoja e zbatimit (leke)</w:t>
            </w:r>
          </w:p>
        </w:tc>
        <w:tc>
          <w:tcPr>
            <w:tcW w:w="1817" w:type="dxa"/>
            <w:gridSpan w:val="2"/>
            <w:shd w:val="clear" w:color="auto" w:fill="2E74B5" w:themeFill="accent5" w:themeFillShade="BF"/>
          </w:tcPr>
          <w:p w14:paraId="2DD8BD8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</w:p>
          <w:p w14:paraId="6EECD86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color w:val="FFFFFF"/>
                <w:sz w:val="18"/>
              </w:rPr>
              <w:t xml:space="preserve">Burimet e financimit </w:t>
            </w:r>
          </w:p>
        </w:tc>
      </w:tr>
      <w:tr w:rsidR="00323A7E" w:rsidRPr="006F7B61" w14:paraId="10A68D92" w14:textId="77777777" w:rsidTr="00B35964">
        <w:trPr>
          <w:trHeight w:val="1519"/>
        </w:trPr>
        <w:tc>
          <w:tcPr>
            <w:tcW w:w="1278" w:type="dxa"/>
            <w:vMerge w:val="restart"/>
            <w:shd w:val="clear" w:color="000000" w:fill="FFFFFF"/>
            <w:vAlign w:val="center"/>
            <w:hideMark/>
          </w:tcPr>
          <w:p w14:paraId="74F44F1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1599" w:type="dxa"/>
            <w:gridSpan w:val="2"/>
            <w:vMerge w:val="restart"/>
            <w:shd w:val="clear" w:color="000000" w:fill="FFFFFF"/>
            <w:vAlign w:val="center"/>
            <w:hideMark/>
          </w:tcPr>
          <w:p w14:paraId="5B8ACD84" w14:textId="5DCC8111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Sakt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simi i të dh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nave p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r punëkerkuesit e papun</w:t>
            </w:r>
            <w:r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  <w:t>, përfitues të NE</w:t>
            </w:r>
          </w:p>
        </w:tc>
        <w:tc>
          <w:tcPr>
            <w:tcW w:w="678" w:type="dxa"/>
            <w:shd w:val="clear" w:color="F2DBDB" w:fill="FFFFFF"/>
            <w:vAlign w:val="center"/>
            <w:hideMark/>
          </w:tcPr>
          <w:p w14:paraId="76FB2893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1.1</w:t>
            </w:r>
          </w:p>
        </w:tc>
        <w:tc>
          <w:tcPr>
            <w:tcW w:w="3221" w:type="dxa"/>
            <w:gridSpan w:val="2"/>
            <w:shd w:val="clear" w:color="F2DBDB" w:fill="FFFFFF"/>
            <w:vAlign w:val="center"/>
            <w:hideMark/>
          </w:tcPr>
          <w:p w14:paraId="1C5097A0" w14:textId="67FB411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Ndryshime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Raportimin Statistikor 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NE duhet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rfshijn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: 1) informacion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sakt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lidhur me problemet sociale me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cilat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rballet aplikanti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cil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at përbëjnë pe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nges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rfshirjen e tyre sociale dhe produktive; 2) profesioni i aplikantit, eksperienca e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 dhe tra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nimet q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ka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rfituar gjat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jet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 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tij</w:t>
            </w:r>
          </w:p>
        </w:tc>
        <w:tc>
          <w:tcPr>
            <w:tcW w:w="1620" w:type="dxa"/>
            <w:gridSpan w:val="2"/>
            <w:shd w:val="clear" w:color="F2DBDB" w:fill="FFFFFF"/>
            <w:vAlign w:val="center"/>
            <w:hideMark/>
          </w:tcPr>
          <w:p w14:paraId="5AD59124" w14:textId="6C73AA4E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Moduli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i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NE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i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modifikuar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17B5E1D5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952FDE">
              <w:rPr>
                <w:rFonts w:ascii="Calibri" w:eastAsia="Times New Roman" w:hAnsi="Calibri" w:cs="Calibri"/>
                <w:sz w:val="18"/>
                <w:lang w:val="it-IT"/>
              </w:rPr>
              <w:t xml:space="preserve">MSHMS </w:t>
            </w:r>
          </w:p>
          <w:p w14:paraId="4E2DFEE0" w14:textId="1796C126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>
              <w:rPr>
                <w:rFonts w:ascii="Calibri" w:eastAsia="Times New Roman" w:hAnsi="Calibri" w:cs="Calibri"/>
                <w:sz w:val="18"/>
                <w:lang w:val="it-IT"/>
              </w:rPr>
              <w:t>SHSSH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</w:p>
          <w:p w14:paraId="5597A753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</w:p>
        </w:tc>
        <w:tc>
          <w:tcPr>
            <w:tcW w:w="1438" w:type="dxa"/>
            <w:gridSpan w:val="2"/>
            <w:shd w:val="clear" w:color="F2DBDB" w:fill="FFFFFF"/>
            <w:vAlign w:val="center"/>
            <w:hideMark/>
          </w:tcPr>
          <w:p w14:paraId="767EB27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</w:p>
          <w:p w14:paraId="75924EE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 1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8EA10E5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2,393,125.0 </w:t>
            </w:r>
          </w:p>
        </w:tc>
        <w:tc>
          <w:tcPr>
            <w:tcW w:w="1817" w:type="dxa"/>
            <w:gridSpan w:val="2"/>
            <w:shd w:val="clear" w:color="auto" w:fill="FFFFFF" w:themeFill="background1"/>
          </w:tcPr>
          <w:p w14:paraId="1696E95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3682D21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53C2EFF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787C72E7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07F9A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5950ED25" w14:textId="77777777" w:rsidR="00323A7E" w:rsidRPr="006F7B61" w:rsidRDefault="00323A7E" w:rsidP="00B35964">
            <w:pPr>
              <w:jc w:val="center"/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1CF893CE" w14:textId="77777777" w:rsidTr="00B35964">
        <w:trPr>
          <w:trHeight w:val="2139"/>
        </w:trPr>
        <w:tc>
          <w:tcPr>
            <w:tcW w:w="1278" w:type="dxa"/>
            <w:vMerge/>
            <w:vAlign w:val="center"/>
            <w:hideMark/>
          </w:tcPr>
          <w:p w14:paraId="6091C77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539D3D19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523DDC5F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1.2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2A3BFEC1" w14:textId="56923CD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Sakt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 i të dh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nave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 punëkerkuesit e papun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, përfitues të NE, profili i tyre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rputhje me: 1) vendodhjen gjeografike, 2) grup-mosh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n, 3) gjinin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, 4) </w:t>
            </w:r>
            <w:r>
              <w:rPr>
                <w:rFonts w:ascii="Calibri" w:eastAsia="Times New Roman" w:hAnsi="Calibri" w:cs="Calibri"/>
                <w:sz w:val="18"/>
              </w:rPr>
              <w:t>pë</w:t>
            </w:r>
            <w:r w:rsidRPr="006F7B61">
              <w:rPr>
                <w:rFonts w:ascii="Calibri" w:eastAsia="Times New Roman" w:hAnsi="Calibri" w:cs="Calibri"/>
                <w:sz w:val="18"/>
              </w:rPr>
              <w:t>rb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rjen familjare, 4) edukimin, 5) profesionin, 6) eksperienc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 e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s, 7) tra</w:t>
            </w:r>
            <w:r>
              <w:rPr>
                <w:rFonts w:ascii="Calibri" w:eastAsia="Times New Roman" w:hAnsi="Calibri" w:cs="Calibri"/>
                <w:sz w:val="18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</w:rPr>
              <w:t>nimet e ndjekura, 8) koha e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ndrimit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skem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 e NE, 9) masa e NE nga e cila ata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rfitojn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, etj. </w:t>
            </w:r>
            <w:r w:rsidRPr="006F7B61">
              <w:rPr>
                <w:rFonts w:ascii="Calibri" w:eastAsia="Times New Roman" w:hAnsi="Calibri" w:cs="Calibri"/>
                <w:sz w:val="18"/>
              </w:rPr>
              <w:br/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Sigurimi i aksesit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koh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reale nga Agjen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c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ia </w:t>
            </w:r>
            <w:r w:rsidRPr="004A2E52">
              <w:rPr>
                <w:rFonts w:ascii="Calibri" w:eastAsia="Times New Roman" w:hAnsi="Calibri" w:cs="Calibri"/>
                <w:sz w:val="18"/>
                <w:lang w:val="sq-AL"/>
              </w:rPr>
              <w:t>Kombëtare e Punësimit dhe Aftësive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, Sh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rbimi Social Shtet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ror dhe Bashkit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5AA90E93" w14:textId="2000D4C3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>
              <w:rPr>
                <w:rFonts w:ascii="Calibri" w:eastAsia="Times New Roman" w:hAnsi="Calibri" w:cs="Calibri"/>
                <w:sz w:val="18"/>
                <w:lang w:val="it-IT"/>
              </w:rPr>
              <w:t>Bazë të dhënash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sakte dhe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përditësuar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përfituesve të punësueshëm të NE.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22A0FCC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</w:p>
          <w:p w14:paraId="0D7C9D55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150E8DA1" w14:textId="00AC8725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SHSSH</w:t>
            </w:r>
          </w:p>
        </w:tc>
        <w:tc>
          <w:tcPr>
            <w:tcW w:w="1438" w:type="dxa"/>
            <w:gridSpan w:val="2"/>
            <w:shd w:val="clear" w:color="F2DBDB" w:fill="FFFFFF"/>
            <w:vAlign w:val="center"/>
            <w:hideMark/>
          </w:tcPr>
          <w:p w14:paraId="68A3AED0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  <w:p w14:paraId="6A765B9E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 1 2021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9A5B87A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2,008,125.0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45A318B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07F9A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4AFCFF27" w14:textId="77777777" w:rsidTr="00B35964">
        <w:trPr>
          <w:trHeight w:val="1141"/>
        </w:trPr>
        <w:tc>
          <w:tcPr>
            <w:tcW w:w="1278" w:type="dxa"/>
            <w:vMerge/>
            <w:vAlign w:val="center"/>
            <w:hideMark/>
          </w:tcPr>
          <w:p w14:paraId="074AFF76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6336F92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4F0047B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1.3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58CC4ACA" w14:textId="0126655A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Shërbimi Social Shtetëror dhe Bashkitë përgatisin listën vjetore të Përfituesve </w:t>
            </w:r>
            <w:r>
              <w:rPr>
                <w:rFonts w:ascii="Calibri" w:eastAsia="Times New Roman" w:hAnsi="Calibri" w:cs="Calibri"/>
                <w:sz w:val="18"/>
              </w:rPr>
              <w:t xml:space="preserve">të 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NE që pritet të dalin nga skema </w:t>
            </w:r>
            <w:r>
              <w:rPr>
                <w:rFonts w:ascii="Calibri" w:eastAsia="Times New Roman" w:hAnsi="Calibri" w:cs="Calibri"/>
                <w:sz w:val="18"/>
              </w:rPr>
              <w:t xml:space="preserve">e </w:t>
            </w:r>
            <w:r w:rsidRPr="006F7B61">
              <w:rPr>
                <w:rFonts w:ascii="Calibri" w:eastAsia="Times New Roman" w:hAnsi="Calibri" w:cs="Calibri"/>
                <w:sz w:val="18"/>
              </w:rPr>
              <w:t>NE në dy vitet e ardhshme. Kjo listë vihet në dispozicion të Ministrive përgjegjëse për mbrojtjen sociale dhe promovimin e punësimit.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305E0545" w14:textId="00A0B7F8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List</w:t>
            </w:r>
            <w:r>
              <w:rPr>
                <w:rFonts w:ascii="Calibri" w:eastAsia="Times New Roman" w:hAnsi="Calibri" w:cs="Calibri"/>
                <w:sz w:val="18"/>
              </w:rPr>
              <w:t xml:space="preserve">a e përfituesve të 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NE </w:t>
            </w:r>
            <w:r>
              <w:rPr>
                <w:rFonts w:ascii="Calibri" w:eastAsia="Times New Roman" w:hAnsi="Calibri" w:cs="Calibri"/>
                <w:sz w:val="18"/>
              </w:rPr>
              <w:t xml:space="preserve">që pritet të dalin nga skema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6698F52B" w14:textId="58621F95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SHSSH Bashkitë</w:t>
            </w:r>
          </w:p>
          <w:p w14:paraId="21FCF266" w14:textId="5B26D71F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438" w:type="dxa"/>
            <w:gridSpan w:val="2"/>
            <w:shd w:val="clear" w:color="F2DBDB" w:fill="FFFFFF"/>
            <w:vAlign w:val="center"/>
            <w:hideMark/>
          </w:tcPr>
          <w:p w14:paraId="190BB4AA" w14:textId="0EE3270A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vazhdim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11EAB28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11,543,000.0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40990FB9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25D1ED55" w14:textId="77777777" w:rsidTr="00B35964">
        <w:trPr>
          <w:trHeight w:val="2880"/>
        </w:trPr>
        <w:tc>
          <w:tcPr>
            <w:tcW w:w="1278" w:type="dxa"/>
            <w:vMerge/>
            <w:vAlign w:val="center"/>
          </w:tcPr>
          <w:p w14:paraId="24F0D768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14:paraId="4684847A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678" w:type="dxa"/>
            <w:shd w:val="clear" w:color="000000" w:fill="FFFFFF"/>
            <w:vAlign w:val="center"/>
          </w:tcPr>
          <w:p w14:paraId="64DB1209" w14:textId="13712F3E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1.4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</w:tcPr>
          <w:p w14:paraId="434FDBAE" w14:textId="40206903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 xml:space="preserve">Shkëmbimi i informacionit mes SHSSH dhe SHKP për Planet Sociale në nivel  Bashkie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</w:tcPr>
          <w:p w14:paraId="69AB7814" w14:textId="67E7EA30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SHSSH grumbullon planet sociale të Bashkive dhe i dërgon pranë SHKP</w:t>
            </w:r>
          </w:p>
        </w:tc>
        <w:tc>
          <w:tcPr>
            <w:tcW w:w="1373" w:type="dxa"/>
            <w:shd w:val="clear" w:color="000000" w:fill="FFFFFF"/>
            <w:vAlign w:val="center"/>
          </w:tcPr>
          <w:p w14:paraId="04BA261C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SHSSH</w:t>
            </w:r>
          </w:p>
          <w:p w14:paraId="73C90FFC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SHKP</w:t>
            </w:r>
          </w:p>
          <w:p w14:paraId="722A773F" w14:textId="51A00303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Bashkitë</w:t>
            </w:r>
          </w:p>
        </w:tc>
        <w:tc>
          <w:tcPr>
            <w:tcW w:w="1438" w:type="dxa"/>
            <w:gridSpan w:val="2"/>
            <w:shd w:val="clear" w:color="F2DBDB" w:fill="FFFFFF"/>
            <w:vAlign w:val="center"/>
          </w:tcPr>
          <w:p w14:paraId="0B5B351C" w14:textId="239361EE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Çdo 3 vjet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</w:tcPr>
          <w:p w14:paraId="451139C1" w14:textId="28DF3A8E" w:rsidR="00323A7E" w:rsidRPr="00C364C1" w:rsidRDefault="00211610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highlight w:val="yellow"/>
              </w:rPr>
            </w:pPr>
            <w:r w:rsidRPr="008E069E">
              <w:rPr>
                <w:rFonts w:ascii="Calibri" w:eastAsia="Times New Roman" w:hAnsi="Calibri" w:cs="Calibri"/>
                <w:b/>
                <w:bCs/>
                <w:sz w:val="18"/>
              </w:rPr>
              <w:t>2,700,000.0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40E17F00" w14:textId="118F8341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highlight w:val="yellow"/>
              </w:rPr>
            </w:pPr>
            <w:r w:rsidRPr="00C364C1">
              <w:rPr>
                <w:rFonts w:ascii="Calibri" w:eastAsia="Times New Roman" w:hAnsi="Calibri" w:cs="Calibri"/>
                <w:b/>
                <w:bCs/>
                <w:sz w:val="18"/>
              </w:rPr>
              <w:t>Buxheti i Shtetit</w:t>
            </w:r>
          </w:p>
        </w:tc>
      </w:tr>
      <w:tr w:rsidR="00323A7E" w:rsidRPr="006F7B61" w14:paraId="6A273F5F" w14:textId="77777777" w:rsidTr="00B35964">
        <w:trPr>
          <w:trHeight w:val="1160"/>
        </w:trPr>
        <w:tc>
          <w:tcPr>
            <w:tcW w:w="1278" w:type="dxa"/>
            <w:vMerge/>
            <w:vAlign w:val="center"/>
            <w:hideMark/>
          </w:tcPr>
          <w:p w14:paraId="2CAEC98B" w14:textId="7454BC43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487694EA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083BB06D" w14:textId="4D18C742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1.</w:t>
            </w:r>
            <w:r>
              <w:rPr>
                <w:rFonts w:ascii="Calibri" w:eastAsia="Times New Roman" w:hAnsi="Calibri" w:cs="Calibri"/>
                <w:sz w:val="18"/>
              </w:rPr>
              <w:t>5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74EBE9C9" w14:textId="4E9F7A49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Përmirësimi dhe mirëmbajtja e regjistrit elektronik të NE për të siguruar  </w:t>
            </w:r>
            <w:r>
              <w:rPr>
                <w:rFonts w:ascii="Calibri" w:eastAsia="Times New Roman" w:hAnsi="Calibri" w:cs="Calibri"/>
                <w:sz w:val="18"/>
              </w:rPr>
              <w:t>p</w:t>
            </w:r>
            <w:r w:rsidR="00C364C1">
              <w:rPr>
                <w:rFonts w:ascii="Calibri" w:eastAsia="Times New Roman" w:hAnsi="Calibri" w:cs="Calibri"/>
                <w:sz w:val="18"/>
              </w:rPr>
              <w:t>ë</w:t>
            </w:r>
            <w:r>
              <w:rPr>
                <w:rFonts w:ascii="Calibri" w:eastAsia="Times New Roman" w:hAnsi="Calibri" w:cs="Calibri"/>
                <w:sz w:val="18"/>
              </w:rPr>
              <w:t xml:space="preserve">rgatitjen dhe integrimin </w:t>
            </w:r>
            <w:r w:rsidRPr="006F7B61">
              <w:rPr>
                <w:rFonts w:ascii="Calibri" w:eastAsia="Times New Roman" w:hAnsi="Calibri" w:cs="Calibri"/>
                <w:sz w:val="18"/>
              </w:rPr>
              <w:t>në regjistrin elektronik të modulit të Planit të Veprimit Individual</w:t>
            </w:r>
            <w:r>
              <w:rPr>
                <w:rFonts w:ascii="Calibri" w:eastAsia="Times New Roman" w:hAnsi="Calibri" w:cs="Calibri"/>
                <w:sz w:val="18"/>
              </w:rPr>
              <w:t xml:space="preserve"> 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</w:rPr>
              <w:t>t</w:t>
            </w:r>
            <w:r w:rsidR="00C364C1">
              <w:rPr>
                <w:rFonts w:ascii="Calibri" w:eastAsia="Times New Roman" w:hAnsi="Calibri" w:cs="Calibri"/>
                <w:sz w:val="18"/>
              </w:rPr>
              <w:t>ë</w:t>
            </w:r>
            <w:r>
              <w:rPr>
                <w:rFonts w:ascii="Calibri" w:eastAsia="Times New Roman" w:hAnsi="Calibri" w:cs="Calibri"/>
                <w:sz w:val="18"/>
              </w:rPr>
              <w:t xml:space="preserve"> integruar dhe dhe </w:t>
            </w:r>
            <w:r w:rsidRPr="006F7B61">
              <w:rPr>
                <w:rFonts w:ascii="Calibri" w:eastAsia="Times New Roman" w:hAnsi="Calibri" w:cs="Calibri"/>
                <w:sz w:val="18"/>
              </w:rPr>
              <w:t>integrimin në kohë reale të Plani</w:t>
            </w:r>
            <w:r>
              <w:rPr>
                <w:rFonts w:ascii="Calibri" w:eastAsia="Times New Roman" w:hAnsi="Calibri" w:cs="Calibri"/>
                <w:sz w:val="18"/>
              </w:rPr>
              <w:t>t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Social individual dhe Plani</w:t>
            </w:r>
            <w:r>
              <w:rPr>
                <w:rFonts w:ascii="Calibri" w:eastAsia="Times New Roman" w:hAnsi="Calibri" w:cs="Calibri"/>
                <w:sz w:val="18"/>
              </w:rPr>
              <w:t>t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</w:rPr>
              <w:t>t</w:t>
            </w:r>
            <w:r w:rsidR="00C364C1"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Punësimit individual për përfituesi</w:t>
            </w:r>
            <w:r>
              <w:rPr>
                <w:rFonts w:ascii="Calibri" w:eastAsia="Times New Roman" w:hAnsi="Calibri" w:cs="Calibri"/>
                <w:sz w:val="18"/>
              </w:rPr>
              <w:t>t e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NE që do të dal</w:t>
            </w:r>
            <w:r>
              <w:rPr>
                <w:rFonts w:ascii="Calibri" w:eastAsia="Times New Roman" w:hAnsi="Calibri" w:cs="Calibri"/>
                <w:sz w:val="18"/>
              </w:rPr>
              <w:t>in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nga skema </w:t>
            </w:r>
            <w:r>
              <w:rPr>
                <w:rFonts w:ascii="Calibri" w:eastAsia="Times New Roman" w:hAnsi="Calibri" w:cs="Calibri"/>
                <w:sz w:val="18"/>
              </w:rPr>
              <w:t xml:space="preserve">e </w:t>
            </w:r>
            <w:r w:rsidRPr="006F7B61">
              <w:rPr>
                <w:rFonts w:ascii="Calibri" w:eastAsia="Times New Roman" w:hAnsi="Calibri" w:cs="Calibri"/>
                <w:sz w:val="18"/>
              </w:rPr>
              <w:t>NE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1974B9F6" w14:textId="34747E41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Një bazë </w:t>
            </w:r>
            <w:r>
              <w:rPr>
                <w:rFonts w:ascii="Calibri" w:eastAsia="Times New Roman" w:hAnsi="Calibri" w:cs="Calibri"/>
                <w:sz w:val="18"/>
              </w:rPr>
              <w:t>të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dhënash </w:t>
            </w:r>
            <w:r>
              <w:rPr>
                <w:rFonts w:ascii="Calibri" w:eastAsia="Times New Roman" w:hAnsi="Calibri" w:cs="Calibri"/>
                <w:sz w:val="18"/>
              </w:rPr>
              <w:t>të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saktë dhe </w:t>
            </w:r>
            <w:r>
              <w:rPr>
                <w:rFonts w:ascii="Calibri" w:eastAsia="Times New Roman" w:hAnsi="Calibri" w:cs="Calibri"/>
                <w:sz w:val="18"/>
              </w:rPr>
              <w:t>të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azhurnuar </w:t>
            </w:r>
            <w:r>
              <w:rPr>
                <w:rFonts w:ascii="Calibri" w:eastAsia="Times New Roman" w:hAnsi="Calibri" w:cs="Calibri"/>
                <w:sz w:val="18"/>
              </w:rPr>
              <w:t>të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përfituesve të punësueshëm të NE dhe stafit të trajnuar më mirë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507D1151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2E0EC219" w14:textId="3DCB49C8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2412A3">
              <w:rPr>
                <w:rFonts w:ascii="Calibri" w:eastAsia="Times New Roman" w:hAnsi="Calibri" w:cs="Calibri"/>
                <w:sz w:val="18"/>
              </w:rPr>
              <w:t>MFE</w:t>
            </w:r>
          </w:p>
          <w:p w14:paraId="0739079C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  <w:p w14:paraId="31E5ACF0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4793AB97" w14:textId="00620F7F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vazhdim</w:t>
            </w:r>
          </w:p>
          <w:p w14:paraId="072AACA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  <w:p w14:paraId="0B2E529F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B2449F9" w14:textId="08A5C291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4</w:t>
            </w:r>
            <w:r>
              <w:rPr>
                <w:rFonts w:ascii="Calibri" w:eastAsia="Times New Roman" w:hAnsi="Calibri" w:cs="Calibri"/>
                <w:b/>
                <w:bCs/>
                <w:sz w:val="18"/>
              </w:rPr>
              <w:t>6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18"/>
              </w:rPr>
              <w:t>4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18"/>
              </w:rPr>
              <w:t>9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sz w:val="18"/>
              </w:rPr>
              <w:t>6</w:t>
            </w: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61.0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0A368F6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A07F9A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47E2BF9F" w14:textId="77777777" w:rsidTr="00B35964">
        <w:trPr>
          <w:trHeight w:val="935"/>
        </w:trPr>
        <w:tc>
          <w:tcPr>
            <w:tcW w:w="1278" w:type="dxa"/>
            <w:vMerge/>
            <w:vAlign w:val="center"/>
            <w:hideMark/>
          </w:tcPr>
          <w:p w14:paraId="7EB7161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50D891B5" w14:textId="77777777" w:rsidR="00323A7E" w:rsidRPr="006F7B61" w:rsidRDefault="00323A7E" w:rsidP="00B35964">
            <w:pPr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1F5A9C8E" w14:textId="02852B1E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1.</w:t>
            </w:r>
            <w:r>
              <w:rPr>
                <w:rFonts w:ascii="Calibri" w:eastAsia="Times New Roman" w:hAnsi="Calibri" w:cs="Calibri"/>
                <w:sz w:val="18"/>
              </w:rPr>
              <w:t>6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7234B838" w14:textId="0E10D3A0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Kualifikimi i vazhdueshëm i stafit, në të gjitha nivelet për përdorimin e regjistrit kombëtar dhe për kryerjen e përgatitjes së Planeve Sociale individuale dhe Planeve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Punësimit individual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6B8C24DE" w14:textId="349D6EAA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Staf </w:t>
            </w:r>
            <w:r>
              <w:rPr>
                <w:rFonts w:ascii="Calibri" w:eastAsia="Times New Roman" w:hAnsi="Calibri" w:cs="Calibri"/>
                <w:sz w:val="18"/>
              </w:rPr>
              <w:t>i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trajnuar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7DAB082A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7A6F4178" w14:textId="25B0D035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</w:t>
            </w:r>
            <w:r>
              <w:rPr>
                <w:rFonts w:ascii="Calibri" w:eastAsia="Times New Roman" w:hAnsi="Calibri" w:cs="Calibri"/>
                <w:sz w:val="18"/>
              </w:rPr>
              <w:t>F</w:t>
            </w:r>
            <w:r w:rsidRPr="006F7B61">
              <w:rPr>
                <w:rFonts w:ascii="Calibri" w:eastAsia="Times New Roman" w:hAnsi="Calibri" w:cs="Calibri"/>
                <w:sz w:val="18"/>
              </w:rPr>
              <w:t>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52B21419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  <w:p w14:paraId="14B9D25C" w14:textId="4FB0CC21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vazhdim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7C7CDA4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178,500.0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0728EB97" w14:textId="77777777" w:rsidR="00323A7E" w:rsidRPr="00C8596E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8596E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1863D5BF" w14:textId="77777777" w:rsidTr="00B35964">
        <w:trPr>
          <w:trHeight w:val="1042"/>
        </w:trPr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60DE0057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szCs w:val="32"/>
              </w:rPr>
            </w:pPr>
            <w:r w:rsidRPr="006F7B61">
              <w:rPr>
                <w:rFonts w:ascii="Calibri" w:eastAsia="Times New Roman" w:hAnsi="Calibri" w:cs="Calibri"/>
                <w:sz w:val="18"/>
                <w:szCs w:val="32"/>
              </w:rPr>
              <w:t>2</w:t>
            </w:r>
          </w:p>
        </w:tc>
        <w:tc>
          <w:tcPr>
            <w:tcW w:w="1599" w:type="dxa"/>
            <w:gridSpan w:val="2"/>
            <w:vMerge w:val="restart"/>
            <w:shd w:val="clear" w:color="000000" w:fill="FFFFFF"/>
            <w:vAlign w:val="center"/>
            <w:hideMark/>
          </w:tcPr>
          <w:p w14:paraId="3FBFF1AE" w14:textId="1C17A682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rgatitja e kuadrit ligjor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zbatimin e programit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NE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41A78584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2.1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52B9E29B" w14:textId="05A7DA16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>
              <w:rPr>
                <w:rFonts w:ascii="Calibri" w:eastAsia="Times New Roman" w:hAnsi="Calibri" w:cs="Calibri"/>
                <w:sz w:val="18"/>
                <w:lang w:val="it-IT"/>
              </w:rPr>
              <w:t>Miratimi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i Programit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NE nga K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shilli i Ministrave dhe publikimi i tij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Fletoren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Zyrtare si dhe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faqen zyrtare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Ministris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ndet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dhe Mbrojtjes Sociale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4037435A" w14:textId="38678DD6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Programi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i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NE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i miratuar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231FB4E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29FD7BB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TM4 2019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C805B25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286,363.6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63358CB5" w14:textId="77777777" w:rsidR="00323A7E" w:rsidRPr="00C8596E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8596E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54BC736B" w14:textId="77777777" w:rsidTr="00B35964">
        <w:trPr>
          <w:trHeight w:val="1069"/>
        </w:trPr>
        <w:tc>
          <w:tcPr>
            <w:tcW w:w="1278" w:type="dxa"/>
            <w:vMerge/>
            <w:vAlign w:val="center"/>
            <w:hideMark/>
          </w:tcPr>
          <w:p w14:paraId="490BB9A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61DD4CF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14:paraId="01DFC7F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2.2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01078689" w14:textId="745C1AD9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rgatitja dhe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ndryshimi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i Vendimit t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K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shillit t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Ministrave “P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Mekanizmat e Bashk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punimit Nd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rinstitucional p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rastet e pun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simit t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individ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ve t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pun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suesh</w:t>
            </w:r>
            <w:r w:rsidRPr="005112C0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m dhe antar</w:t>
            </w:r>
            <w:r w:rsidRPr="00BF54EF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ve t</w:t>
            </w:r>
            <w:r w:rsidRPr="00BF54EF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familjes q</w:t>
            </w:r>
            <w:r w:rsidRPr="00BF54EF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jan</w:t>
            </w:r>
            <w:r w:rsidRPr="00BF54EF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</w:t>
            </w:r>
            <w:r w:rsidRPr="00BF54EF"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rfitues nga NE”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18C0D88B" w14:textId="676CB7B6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VKM </w:t>
            </w:r>
            <w:r>
              <w:rPr>
                <w:rFonts w:ascii="Calibri" w:eastAsia="Times New Roman" w:hAnsi="Calibri" w:cs="Calibri"/>
                <w:sz w:val="18"/>
              </w:rPr>
              <w:t xml:space="preserve">e 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ndryshuar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393FFB6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1171AC4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TM1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0EB8273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817,727.3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75F8615F" w14:textId="77777777" w:rsidR="00323A7E" w:rsidRPr="00C8596E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8596E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2DE33A28" w14:textId="77777777" w:rsidTr="00B35964">
        <w:trPr>
          <w:trHeight w:val="1196"/>
        </w:trPr>
        <w:tc>
          <w:tcPr>
            <w:tcW w:w="1278" w:type="dxa"/>
            <w:vMerge/>
            <w:vAlign w:val="center"/>
            <w:hideMark/>
          </w:tcPr>
          <w:p w14:paraId="5CA4BE17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371D599D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C03AD0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2.2.1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3411F34F" w14:textId="0EE732B4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Tra</w:t>
            </w:r>
            <w:r>
              <w:rPr>
                <w:rFonts w:ascii="Calibri" w:eastAsia="Times New Roman" w:hAnsi="Calibri" w:cs="Calibri"/>
                <w:sz w:val="18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</w:rPr>
              <w:t>nimi i stafit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</w:t>
            </w:r>
            <w:r>
              <w:rPr>
                <w:rFonts w:ascii="Calibri" w:eastAsia="Times New Roman" w:hAnsi="Calibri" w:cs="Calibri"/>
                <w:sz w:val="18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</w:rPr>
              <w:t>SS</w:t>
            </w:r>
            <w:r>
              <w:rPr>
                <w:rFonts w:ascii="Calibri" w:eastAsia="Times New Roman" w:hAnsi="Calibri" w:cs="Calibri"/>
                <w:sz w:val="18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, i </w:t>
            </w:r>
            <w:r w:rsidRPr="00536F22">
              <w:rPr>
                <w:rFonts w:ascii="Calibri" w:eastAsia="Times New Roman" w:hAnsi="Calibri" w:cs="Calibri"/>
                <w:sz w:val="18"/>
                <w:lang w:val="it-IT"/>
              </w:rPr>
              <w:t xml:space="preserve"> Agjenci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së</w:t>
            </w:r>
            <w:r w:rsidRPr="00536F22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  <w:r w:rsidRPr="00536F22">
              <w:rPr>
                <w:rFonts w:ascii="Calibri" w:eastAsia="Times New Roman" w:hAnsi="Calibri" w:cs="Calibri"/>
                <w:sz w:val="18"/>
                <w:lang w:val="sq-AL"/>
              </w:rPr>
              <w:t>Kombëtare e Punësimit dhe Aftësive</w:t>
            </w:r>
            <w:r w:rsidRPr="00536F22">
              <w:rPr>
                <w:rFonts w:ascii="Calibri" w:eastAsia="Times New Roman" w:hAnsi="Calibri" w:cs="Calibri"/>
                <w:sz w:val="18"/>
                <w:lang w:val="it-IT"/>
              </w:rPr>
              <w:t xml:space="preserve">, 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</w:rPr>
              <w:t xml:space="preserve">strukturave të shërbimeve sociale </w:t>
            </w:r>
            <w:r w:rsidRPr="006F7B61">
              <w:rPr>
                <w:rFonts w:ascii="Calibri" w:eastAsia="Times New Roman" w:hAnsi="Calibri" w:cs="Calibri"/>
                <w:sz w:val="18"/>
              </w:rPr>
              <w:t>dhe zyrave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punesimit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nivel lokal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lidhje me Mekanizmin e Bashk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punimit Nd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rinstitucional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 rastet e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individ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suesh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m dhe antar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familjes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jan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 nga NE”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2FAFEAA7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Stafi trajnuar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0AC9D10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2412A3">
              <w:rPr>
                <w:rFonts w:ascii="Calibri" w:eastAsia="Times New Roman" w:hAnsi="Calibri" w:cs="Calibri"/>
                <w:sz w:val="18"/>
              </w:rPr>
              <w:t>MSHMS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0578FE6C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TM1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DC538E6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2,574,090.9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622483D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8596E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0F33664D" w14:textId="77777777" w:rsidTr="00B35964">
        <w:trPr>
          <w:trHeight w:val="881"/>
        </w:trPr>
        <w:tc>
          <w:tcPr>
            <w:tcW w:w="1278" w:type="dxa"/>
            <w:vMerge/>
            <w:vAlign w:val="center"/>
            <w:hideMark/>
          </w:tcPr>
          <w:p w14:paraId="013AE2F5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4B217CFD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EC4C14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2.3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3D380ED9" w14:textId="1F8E727D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rgatitja e Dokumentit Indikativ Vjetor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integrimin e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NE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tregun e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2A9E61F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Dokumentit Indikativ Vjetor 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19201C7E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77A99044" w14:textId="607CEF41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TM1 </w:t>
            </w:r>
            <w:r>
              <w:rPr>
                <w:rFonts w:ascii="Calibri" w:eastAsia="Times New Roman" w:hAnsi="Calibri" w:cs="Calibri"/>
                <w:sz w:val="18"/>
              </w:rPr>
              <w:t>ç</w:t>
            </w:r>
            <w:r w:rsidRPr="006F7B61">
              <w:rPr>
                <w:rFonts w:ascii="Calibri" w:eastAsia="Times New Roman" w:hAnsi="Calibri" w:cs="Calibri"/>
                <w:sz w:val="18"/>
              </w:rPr>
              <w:t>do vit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F1070DF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1,880,454.5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74C6F1B3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683081DA" w14:textId="77777777" w:rsidTr="00B35964">
        <w:trPr>
          <w:trHeight w:val="610"/>
        </w:trPr>
        <w:tc>
          <w:tcPr>
            <w:tcW w:w="1278" w:type="dxa"/>
            <w:vMerge/>
            <w:vAlign w:val="center"/>
            <w:hideMark/>
          </w:tcPr>
          <w:p w14:paraId="41E85EA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0A832B58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6522952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2.4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7AC1C0C0" w14:textId="073FF87E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>
              <w:rPr>
                <w:rFonts w:ascii="Calibri" w:eastAsia="Times New Roman" w:hAnsi="Calibri" w:cs="Calibri"/>
                <w:sz w:val="18"/>
                <w:lang w:val="it-IT"/>
              </w:rPr>
              <w:t>Rishikimi i Nenit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19, pikat 2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 xml:space="preserve"> dhe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3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Ligjit 15/2019 “P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ër nxitjen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e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simit”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rfshirjen e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NE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regjistruar si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ëkë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rkues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papun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.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760C8B0B" w14:textId="72E73A88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VKM </w:t>
            </w:r>
            <w:r>
              <w:rPr>
                <w:rFonts w:ascii="Calibri" w:eastAsia="Times New Roman" w:hAnsi="Calibri" w:cs="Calibri"/>
                <w:sz w:val="18"/>
              </w:rPr>
              <w:t>e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ndryshuar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5A3F2A98" w14:textId="327759F8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13BD10E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TM1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73EC616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1,921,818.2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1E42151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2C19E70A" w14:textId="77777777" w:rsidTr="00B35964">
        <w:trPr>
          <w:trHeight w:val="1123"/>
        </w:trPr>
        <w:tc>
          <w:tcPr>
            <w:tcW w:w="1278" w:type="dxa"/>
            <w:vMerge/>
            <w:vAlign w:val="center"/>
            <w:hideMark/>
          </w:tcPr>
          <w:p w14:paraId="27F2684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19965A36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80F7FDE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2.5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45A92E9B" w14:textId="4C77306E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C364C1">
              <w:rPr>
                <w:rFonts w:ascii="Calibri" w:eastAsia="Times New Roman" w:hAnsi="Calibri" w:cs="Calibri"/>
                <w:sz w:val="18"/>
                <w:lang w:val="it-IT"/>
              </w:rPr>
              <w:t>Propozimi i ndryshimit të Vendimit të Këshillit të Ministrave (VKM), për të amenduar VKM Nr. 914, datë 29.12.2014 “Për aprovimin e rregullave për Prokurimin Publik”</w:t>
            </w:r>
            <w:r w:rsidRPr="00C364C1">
              <w:rPr>
                <w:rFonts w:ascii="Calibri" w:eastAsia="Times New Roman" w:hAnsi="Calibri" w:cs="Calibri"/>
                <w:sz w:val="18"/>
                <w:lang w:val="it-IT"/>
              </w:rPr>
              <w:br/>
              <w:t xml:space="preserve">Nenet 26 “Kontratat për Punët Publike’ dhe 28 “Kontratat për Shërbimet”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066DCAAD" w14:textId="7703BDA1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 xml:space="preserve">Propozimi i dërguar pranë Agjencisë së Prokurimit Publik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6F6A1992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3D050492" w14:textId="1675221B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38A80FC3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TM1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71854E" w14:textId="77777777" w:rsidR="00323A7E" w:rsidRPr="00C364C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364C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2,208,181.8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7813D687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364C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FA7A6E" w14:paraId="7D31CC76" w14:textId="77777777" w:rsidTr="00B35964">
        <w:trPr>
          <w:trHeight w:val="871"/>
        </w:trPr>
        <w:tc>
          <w:tcPr>
            <w:tcW w:w="1278" w:type="dxa"/>
            <w:vMerge/>
            <w:vAlign w:val="center"/>
            <w:hideMark/>
          </w:tcPr>
          <w:p w14:paraId="0AF7215E" w14:textId="5463DF2A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45C7C6ED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1C273948" w14:textId="72DC393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2.6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27CD4810" w14:textId="378017B6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  <w:lang w:val="it-IT"/>
              </w:rPr>
              <w:t xml:space="preserve">Përgatitja e kuadrit nënligjor në zbatim të ligjit nr. 15/2019 “Për nxitjen e punësimit”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09525D8A" w14:textId="3A1A041E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 xml:space="preserve">xxx VKM të miratuara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37DB34CD" w14:textId="21BC2A2E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6B2A6E7C" w14:textId="719CC3B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TM3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5DD8C4C" w14:textId="584E09F8" w:rsidR="00323A7E" w:rsidRPr="00C364C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364C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30,265,454.50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2F5C2630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C364C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3EF6D2F3" w14:textId="77777777" w:rsidTr="00B35964">
        <w:trPr>
          <w:trHeight w:val="853"/>
        </w:trPr>
        <w:tc>
          <w:tcPr>
            <w:tcW w:w="1278" w:type="dxa"/>
            <w:vMerge/>
            <w:vAlign w:val="center"/>
            <w:hideMark/>
          </w:tcPr>
          <w:p w14:paraId="57DEEFF6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1EA8829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41A5B21E" w14:textId="1E7CA8E5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2.8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0CAF00A5" w14:textId="03B54554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Draftimi dhe miratimi i një udhëzuesi (protokoll pune) për të përcaktuar rolin dhe përgjegjësitë e aktorëve të përfshirë, koordinimin dhe bashkëpunimin si dhe shkëmbimin e të dhënave për përgatitjen e Planeve Individuale nga institucionet respektive përgjegjëse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30B861F4" w14:textId="1346EC2C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  <w:lang w:val="de-DE"/>
              </w:rPr>
            </w:pPr>
            <w:r w:rsidRPr="00C364C1">
              <w:rPr>
                <w:rFonts w:ascii="Calibri" w:eastAsia="Times New Roman" w:hAnsi="Calibri" w:cs="Calibri"/>
                <w:sz w:val="18"/>
                <w:lang w:val="de-DE"/>
              </w:rPr>
              <w:t>Udhëzuesi i  hartuar dhe miratuar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63C39CA3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2C92A755" w14:textId="625CFA2C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19D807AB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TM3 2020</w:t>
            </w:r>
          </w:p>
        </w:tc>
        <w:tc>
          <w:tcPr>
            <w:tcW w:w="1981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0FAAF89A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16,579,931.8 </w:t>
            </w:r>
          </w:p>
        </w:tc>
        <w:tc>
          <w:tcPr>
            <w:tcW w:w="1817" w:type="dxa"/>
            <w:gridSpan w:val="2"/>
            <w:vMerge w:val="restart"/>
            <w:shd w:val="clear" w:color="auto" w:fill="FFFFFF" w:themeFill="background1"/>
            <w:vAlign w:val="center"/>
          </w:tcPr>
          <w:p w14:paraId="2D0FD86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53ECD010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2586FC44" w14:textId="77777777" w:rsidTr="00B35964">
        <w:trPr>
          <w:trHeight w:val="691"/>
        </w:trPr>
        <w:tc>
          <w:tcPr>
            <w:tcW w:w="1278" w:type="dxa"/>
            <w:vMerge/>
            <w:vAlign w:val="center"/>
            <w:hideMark/>
          </w:tcPr>
          <w:p w14:paraId="05FC22A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34C9541B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2AAC4C94" w14:textId="358ED94D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</w:t>
            </w:r>
            <w:r>
              <w:rPr>
                <w:rFonts w:ascii="Calibri" w:eastAsia="Times New Roman" w:hAnsi="Calibri" w:cs="Calibri"/>
                <w:sz w:val="18"/>
              </w:rPr>
              <w:t>8</w:t>
            </w:r>
            <w:r w:rsidRPr="006F7B61">
              <w:rPr>
                <w:rFonts w:ascii="Calibri" w:eastAsia="Times New Roman" w:hAnsi="Calibri" w:cs="Calibri"/>
                <w:sz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</w:rPr>
              <w:t>1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2F028928" w14:textId="2DDA337E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0A4575">
              <w:rPr>
                <w:rFonts w:ascii="Calibri" w:eastAsia="Times New Roman" w:hAnsi="Calibri" w:cs="Calibri"/>
                <w:sz w:val="18"/>
                <w:lang w:val="it-IT"/>
              </w:rPr>
              <w:t>Informimi dhe ngritja e kapaciteteve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0A4575">
              <w:rPr>
                <w:rFonts w:ascii="Calibri" w:eastAsia="Times New Roman" w:hAnsi="Calibri" w:cs="Calibri"/>
                <w:sz w:val="18"/>
                <w:lang w:val="it-IT"/>
              </w:rPr>
              <w:t xml:space="preserve">  stafit të 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dhe stafit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Bashkive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rgatitjen e Planit Individual Social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rfituesit e NE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cil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 do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dalin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lastRenderedPageBreak/>
              <w:t xml:space="preserve">nga skema e NE rreth koordinimit me </w:t>
            </w:r>
            <w:r>
              <w:t xml:space="preserve"> </w:t>
            </w:r>
            <w:r w:rsidRPr="00FA021E">
              <w:rPr>
                <w:rFonts w:ascii="Calibri" w:eastAsia="Times New Roman" w:hAnsi="Calibri" w:cs="Calibri"/>
                <w:sz w:val="18"/>
                <w:lang w:val="it-IT"/>
              </w:rPr>
              <w:t xml:space="preserve">Agjencisë Kombëtare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të</w:t>
            </w:r>
            <w:r w:rsidRPr="00FA021E">
              <w:rPr>
                <w:rFonts w:ascii="Calibri" w:eastAsia="Times New Roman" w:hAnsi="Calibri" w:cs="Calibri"/>
                <w:sz w:val="18"/>
                <w:lang w:val="it-IT"/>
              </w:rPr>
              <w:t xml:space="preserve"> Punësimit dhe Aftësive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0F5490A3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lastRenderedPageBreak/>
              <w:t> 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513B3093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3A3D6D2B" w14:textId="66C35B81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SHSSH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366643FC" w14:textId="22B730DD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</w:t>
            </w:r>
            <w:r>
              <w:rPr>
                <w:rFonts w:ascii="Calibri" w:eastAsia="Times New Roman" w:hAnsi="Calibri" w:cs="Calibri"/>
                <w:sz w:val="18"/>
              </w:rPr>
              <w:t>1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202</w:t>
            </w:r>
            <w:r>
              <w:rPr>
                <w:rFonts w:ascii="Calibri" w:eastAsia="Times New Roman" w:hAnsi="Calibri" w:cs="Calibri"/>
                <w:sz w:val="18"/>
              </w:rPr>
              <w:t>1</w:t>
            </w:r>
          </w:p>
        </w:tc>
        <w:tc>
          <w:tcPr>
            <w:tcW w:w="1981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0C4AFD88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1817" w:type="dxa"/>
            <w:gridSpan w:val="2"/>
            <w:vMerge/>
            <w:shd w:val="clear" w:color="auto" w:fill="FFFFFF" w:themeFill="background1"/>
            <w:vAlign w:val="center"/>
          </w:tcPr>
          <w:p w14:paraId="33ECFBDC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</w:tr>
      <w:tr w:rsidR="00323A7E" w:rsidRPr="006F7B61" w14:paraId="7BAF561E" w14:textId="77777777" w:rsidTr="00B35964">
        <w:trPr>
          <w:trHeight w:val="997"/>
        </w:trPr>
        <w:tc>
          <w:tcPr>
            <w:tcW w:w="1278" w:type="dxa"/>
            <w:vMerge/>
            <w:vAlign w:val="center"/>
            <w:hideMark/>
          </w:tcPr>
          <w:p w14:paraId="46889245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00604B8B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93ECB3F" w14:textId="47E30902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</w:t>
            </w:r>
            <w:r>
              <w:rPr>
                <w:rFonts w:ascii="Calibri" w:eastAsia="Times New Roman" w:hAnsi="Calibri" w:cs="Calibri"/>
                <w:sz w:val="18"/>
              </w:rPr>
              <w:t>8</w:t>
            </w:r>
            <w:r w:rsidRPr="006F7B61">
              <w:rPr>
                <w:rFonts w:ascii="Calibri" w:eastAsia="Times New Roman" w:hAnsi="Calibri" w:cs="Calibri"/>
                <w:sz w:val="18"/>
              </w:rPr>
              <w:t>.</w:t>
            </w:r>
            <w:r>
              <w:rPr>
                <w:rFonts w:ascii="Calibri" w:eastAsia="Times New Roman" w:hAnsi="Calibri" w:cs="Calibri"/>
                <w:sz w:val="18"/>
              </w:rPr>
              <w:t>2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4907E8C2" w14:textId="51046B98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>
              <w:rPr>
                <w:rFonts w:ascii="Calibri" w:eastAsia="Times New Roman" w:hAnsi="Calibri" w:cs="Calibri"/>
                <w:sz w:val="18"/>
                <w:lang w:val="it-IT"/>
              </w:rPr>
              <w:t xml:space="preserve">Informimi dhe ngritja e kapaciteteve të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stafit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  <w:r>
              <w:t xml:space="preserve"> </w:t>
            </w:r>
            <w:r w:rsidRPr="001745AD">
              <w:rPr>
                <w:rFonts w:ascii="Calibri" w:eastAsia="Times New Roman" w:hAnsi="Calibri" w:cs="Calibri"/>
                <w:sz w:val="18"/>
                <w:lang w:val="it-IT"/>
              </w:rPr>
              <w:t xml:space="preserve">Agjencisë Kombëtare e Punësimit dhe Aftësive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rgatitjen e Planit Individual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simit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rfituesit e NE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 xml:space="preserve">ë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cil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 do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dalin nga skema e NE rreth koordinimit me Sh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rbimin Social Shtet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ror dhe bashkit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4F793D86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 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56C7A7B8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6F9A577A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MFE</w:t>
            </w:r>
          </w:p>
          <w:p w14:paraId="793A0D2D" w14:textId="0F1AC794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AKPA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1B142064" w14:textId="06101EE8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</w:t>
            </w:r>
            <w:r>
              <w:rPr>
                <w:rFonts w:ascii="Calibri" w:eastAsia="Times New Roman" w:hAnsi="Calibri" w:cs="Calibri"/>
                <w:sz w:val="18"/>
              </w:rPr>
              <w:t xml:space="preserve">1-2 </w:t>
            </w:r>
            <w:r w:rsidRPr="006F7B61">
              <w:rPr>
                <w:rFonts w:ascii="Calibri" w:eastAsia="Times New Roman" w:hAnsi="Calibri" w:cs="Calibri"/>
                <w:sz w:val="18"/>
              </w:rPr>
              <w:t>202</w:t>
            </w:r>
            <w:r>
              <w:rPr>
                <w:rFonts w:ascii="Calibri" w:eastAsia="Times New Roman" w:hAnsi="Calibri" w:cs="Calibri"/>
                <w:sz w:val="18"/>
              </w:rPr>
              <w:t>1</w:t>
            </w:r>
          </w:p>
        </w:tc>
        <w:tc>
          <w:tcPr>
            <w:tcW w:w="1981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6E2B5D37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  <w:tc>
          <w:tcPr>
            <w:tcW w:w="1817" w:type="dxa"/>
            <w:gridSpan w:val="2"/>
            <w:vMerge/>
            <w:shd w:val="clear" w:color="auto" w:fill="FFFFFF" w:themeFill="background1"/>
            <w:vAlign w:val="center"/>
          </w:tcPr>
          <w:p w14:paraId="10A3EC5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</w:tr>
      <w:tr w:rsidR="00323A7E" w:rsidRPr="006F7B61" w14:paraId="1AF02055" w14:textId="77777777" w:rsidTr="00B35964">
        <w:trPr>
          <w:trHeight w:val="574"/>
        </w:trPr>
        <w:tc>
          <w:tcPr>
            <w:tcW w:w="1278" w:type="dxa"/>
            <w:vMerge/>
            <w:vAlign w:val="center"/>
            <w:hideMark/>
          </w:tcPr>
          <w:p w14:paraId="1087AECB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404958D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8E1372C" w14:textId="28718B7B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</w:t>
            </w:r>
            <w:r>
              <w:rPr>
                <w:rFonts w:ascii="Calibri" w:eastAsia="Times New Roman" w:hAnsi="Calibri" w:cs="Calibri"/>
                <w:sz w:val="18"/>
              </w:rPr>
              <w:t>9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530E6661" w14:textId="10C1B1A1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Tryeza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rrumbullakta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nivel komb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tar dhe lokal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prezantuar ndryshimet legjislative dhe programin e  daljes nga skema e NE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6A7A777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 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62392C76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774532F1" w14:textId="466B83F5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4EBBB23A" w14:textId="4310E840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</w:t>
            </w:r>
            <w:r>
              <w:rPr>
                <w:rFonts w:ascii="Calibri" w:eastAsia="Times New Roman" w:hAnsi="Calibri" w:cs="Calibri"/>
                <w:sz w:val="18"/>
              </w:rPr>
              <w:t>2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202</w:t>
            </w:r>
            <w:r>
              <w:rPr>
                <w:rFonts w:ascii="Calibri" w:eastAsia="Times New Roman" w:hAnsi="Calibri" w:cs="Calibri"/>
                <w:sz w:val="18"/>
              </w:rPr>
              <w:t>1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1B12E65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571,750.0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554D8B9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6633228D" w14:textId="77777777" w:rsidTr="00B35964">
        <w:trPr>
          <w:trHeight w:val="691"/>
        </w:trPr>
        <w:tc>
          <w:tcPr>
            <w:tcW w:w="1278" w:type="dxa"/>
            <w:vMerge/>
            <w:vAlign w:val="center"/>
            <w:hideMark/>
          </w:tcPr>
          <w:p w14:paraId="09150A84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07410ED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65E24FD9" w14:textId="4913E83D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2.</w:t>
            </w:r>
            <w:r>
              <w:rPr>
                <w:rFonts w:ascii="Calibri" w:eastAsia="Times New Roman" w:hAnsi="Calibri" w:cs="Calibri"/>
                <w:sz w:val="18"/>
              </w:rPr>
              <w:t>10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361E3590" w14:textId="286AF66B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Tryez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e rrumbullak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 me Dhomat e Tregtis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dhe Shoqatat e Biznesit 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prezantuar programin e  daljes nga skema e NE dhe ndryshimet legjislative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3FF9A736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szCs w:val="32"/>
                <w:lang w:val="it-IT"/>
              </w:rPr>
              <w:t> 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3E843D15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67908A8C" w14:textId="7228191B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7A6FE9DE" w14:textId="02B416DF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</w:t>
            </w:r>
            <w:r>
              <w:rPr>
                <w:rFonts w:ascii="Calibri" w:eastAsia="Times New Roman" w:hAnsi="Calibri" w:cs="Calibri"/>
                <w:sz w:val="18"/>
              </w:rPr>
              <w:t>1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202</w:t>
            </w:r>
            <w:r>
              <w:rPr>
                <w:rFonts w:ascii="Calibri" w:eastAsia="Times New Roman" w:hAnsi="Calibri" w:cs="Calibri"/>
                <w:sz w:val="18"/>
              </w:rPr>
              <w:t>1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26BD16D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386,750.0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6D4E0C1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1CE5AFAE" w14:textId="77777777" w:rsidTr="00B35964">
        <w:trPr>
          <w:trHeight w:val="1560"/>
        </w:trPr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52C164A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szCs w:val="32"/>
              </w:rPr>
            </w:pPr>
            <w:r w:rsidRPr="006F7B61">
              <w:rPr>
                <w:rFonts w:ascii="Calibri" w:eastAsia="Times New Roman" w:hAnsi="Calibri" w:cs="Calibri"/>
                <w:sz w:val="18"/>
                <w:szCs w:val="32"/>
              </w:rPr>
              <w:t>3</w:t>
            </w:r>
          </w:p>
        </w:tc>
        <w:tc>
          <w:tcPr>
            <w:tcW w:w="1599" w:type="dxa"/>
            <w:gridSpan w:val="2"/>
            <w:vMerge w:val="restart"/>
            <w:shd w:val="clear" w:color="auto" w:fill="auto"/>
            <w:vAlign w:val="center"/>
            <w:hideMark/>
          </w:tcPr>
          <w:p w14:paraId="603EFD95" w14:textId="7B4CDD7A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Monitorimi dhe implementimi i programit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skema NE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6B932FB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3.1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08998F17" w14:textId="6065E880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Grumbullimi i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nave lidhur me implementimin dhe dinamikat e Programit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skema NE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 xml:space="preserve">ë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lidhje me rastet, tra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nimet dhe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simin e individ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 xml:space="preserve">ëve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 nga skema e NE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06132D84" w14:textId="038C7C6B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Informacioni i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o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rganizuar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s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tatistikor, i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rdorur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formulimet e politikave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75D36BD1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28C5D15C" w14:textId="4ADC212B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61C897B9" w14:textId="535155E4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TM1 2021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771796F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3,927,000.0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074C806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706F2508" w14:textId="77777777" w:rsidTr="00B35964">
        <w:trPr>
          <w:trHeight w:val="1560"/>
        </w:trPr>
        <w:tc>
          <w:tcPr>
            <w:tcW w:w="1278" w:type="dxa"/>
            <w:vMerge/>
            <w:shd w:val="clear" w:color="auto" w:fill="auto"/>
            <w:vAlign w:val="center"/>
          </w:tcPr>
          <w:p w14:paraId="5A89D74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shd w:val="clear" w:color="auto" w:fill="auto"/>
            <w:vAlign w:val="center"/>
          </w:tcPr>
          <w:p w14:paraId="7515881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6133332" w14:textId="72ECA681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3.2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</w:tcPr>
          <w:p w14:paraId="399FF8C7" w14:textId="613A9C65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C364C1">
              <w:rPr>
                <w:rFonts w:ascii="Calibri" w:eastAsia="Times New Roman" w:hAnsi="Calibri" w:cs="Calibri"/>
                <w:sz w:val="18"/>
                <w:lang w:val="it-IT"/>
              </w:rPr>
              <w:t xml:space="preserve">Analiza e të dhënave të përfituesve të NE-së që janë në moshë aktive bazuar në profilin e tyre social dhe nevojat sociale.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</w:tcPr>
          <w:p w14:paraId="4917CE8C" w14:textId="3083809E" w:rsidR="00323A7E" w:rsidRPr="00C364C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C364C1">
              <w:rPr>
                <w:rFonts w:ascii="Calibri" w:eastAsia="Times New Roman" w:hAnsi="Calibri" w:cs="Calibri"/>
                <w:sz w:val="18"/>
                <w:lang w:val="it-IT"/>
              </w:rPr>
              <w:t>Raporte periodike</w:t>
            </w:r>
          </w:p>
        </w:tc>
        <w:tc>
          <w:tcPr>
            <w:tcW w:w="1373" w:type="dxa"/>
            <w:shd w:val="clear" w:color="000000" w:fill="FFFFFF"/>
            <w:vAlign w:val="center"/>
          </w:tcPr>
          <w:p w14:paraId="315BAC0C" w14:textId="3FE9F448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SHSSH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</w:tcPr>
          <w:p w14:paraId="5F542C72" w14:textId="1ED4C285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C364C1">
              <w:rPr>
                <w:rFonts w:ascii="Calibri" w:eastAsia="Times New Roman" w:hAnsi="Calibri" w:cs="Calibri"/>
                <w:sz w:val="18"/>
              </w:rPr>
              <w:t>TM 4 2020-2022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</w:tcPr>
          <w:p w14:paraId="3B3A0CBF" w14:textId="3751C6D6" w:rsidR="00323A7E" w:rsidRPr="00C364C1" w:rsidRDefault="00B211C2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</w:rPr>
              <w:t>6,480,000.0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7C5C4791" w14:textId="77777777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highlight w:val="yellow"/>
              </w:rPr>
            </w:pPr>
          </w:p>
          <w:p w14:paraId="0F93CABC" w14:textId="1C261765" w:rsidR="00323A7E" w:rsidRPr="008E069E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8E069E">
              <w:rPr>
                <w:rFonts w:ascii="Calibri" w:eastAsia="Times New Roman" w:hAnsi="Calibri" w:cs="Calibri"/>
                <w:b/>
                <w:bCs/>
                <w:sz w:val="18"/>
              </w:rPr>
              <w:t>Buxheti i Shtetit</w:t>
            </w:r>
          </w:p>
          <w:p w14:paraId="3D07D47A" w14:textId="35212AD3" w:rsidR="00323A7E" w:rsidRPr="00C364C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</w:tr>
      <w:tr w:rsidR="00323A7E" w:rsidRPr="006F7B61" w14:paraId="608A7998" w14:textId="77777777" w:rsidTr="00B35964">
        <w:trPr>
          <w:trHeight w:val="790"/>
        </w:trPr>
        <w:tc>
          <w:tcPr>
            <w:tcW w:w="1278" w:type="dxa"/>
            <w:vMerge/>
            <w:vAlign w:val="center"/>
            <w:hideMark/>
          </w:tcPr>
          <w:p w14:paraId="329160A8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0E35DA96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430F5FE5" w14:textId="0C7E2F4F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3.</w:t>
            </w:r>
            <w:r>
              <w:rPr>
                <w:rFonts w:ascii="Calibri" w:eastAsia="Times New Roman" w:hAnsi="Calibri" w:cs="Calibri"/>
                <w:sz w:val="18"/>
              </w:rPr>
              <w:t>3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3FDE9EE5" w14:textId="325BCB21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ërgatitja e r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aporteve me baz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tre-mujore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treguar progresin dhe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çë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shtjet e hasura gjat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implementimit dhe dinamikat e Programit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skema NE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lidhje me rastet, tra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nimet dhe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simin e individeve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 nga skema e NE.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5A8294B3" w14:textId="64651E5E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Raportet tre-mujore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dor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zuara tek Ministri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rgjegj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r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çë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shtjet sociale dhe Ministri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rgjegj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ës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imin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1E578123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057E8D">
              <w:rPr>
                <w:rFonts w:ascii="Calibri" w:eastAsia="Times New Roman" w:hAnsi="Calibri" w:cs="Calibri"/>
                <w:sz w:val="18"/>
                <w:lang w:val="it-IT"/>
              </w:rPr>
              <w:t xml:space="preserve">Ekipet e punës të ngritura në nivel rajonal e vendor si pjesë e mekanizmit bashkërendues </w:t>
            </w:r>
          </w:p>
          <w:p w14:paraId="4B6163D4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</w:p>
          <w:p w14:paraId="5E8F8B3D" w14:textId="1E01F003" w:rsidR="00323A7E" w:rsidRPr="00057E8D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057E8D">
              <w:rPr>
                <w:rFonts w:ascii="Calibri" w:eastAsia="Times New Roman" w:hAnsi="Calibri" w:cs="Calibri"/>
                <w:sz w:val="18"/>
                <w:lang w:val="it-IT"/>
              </w:rPr>
              <w:lastRenderedPageBreak/>
              <w:t>Grupi Teknik Ndërministror GTN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70CCA7B3" w14:textId="09647C2F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lastRenderedPageBreak/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</w:rPr>
              <w:t>vazhdim</w:t>
            </w:r>
          </w:p>
          <w:p w14:paraId="273BAAB2" w14:textId="761DF06C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(çdo tre muaj)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7102750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3,108,000.0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01C0E7D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782A591B" w14:textId="77777777" w:rsidTr="00B35964">
        <w:trPr>
          <w:trHeight w:val="799"/>
        </w:trPr>
        <w:tc>
          <w:tcPr>
            <w:tcW w:w="1278" w:type="dxa"/>
            <w:vMerge/>
            <w:vAlign w:val="center"/>
            <w:hideMark/>
          </w:tcPr>
          <w:p w14:paraId="3B67A44C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1216CD8E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FD8812D" w14:textId="20BE1355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3.</w:t>
            </w:r>
            <w:r>
              <w:rPr>
                <w:rFonts w:ascii="Calibri" w:eastAsia="Times New Roman" w:hAnsi="Calibri" w:cs="Calibri"/>
                <w:sz w:val="18"/>
              </w:rPr>
              <w:t>4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7FE064D9" w14:textId="43EB856A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rcaktimi i strukturave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monitorimit, vler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simit dhe raportimit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lidhje me implementimin e programit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skema NE;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 i stafit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se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sht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 xml:space="preserve">ë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e nevojshme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5E89E04D" w14:textId="1A1DE38C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Strukturat e monitorimit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 krij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uara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6A6ED36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6EC2E47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 4 2021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5C2B8D7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3,960,000.0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5A39D843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13ADEDB6" w14:textId="77777777" w:rsidTr="00B35964">
        <w:trPr>
          <w:trHeight w:val="907"/>
        </w:trPr>
        <w:tc>
          <w:tcPr>
            <w:tcW w:w="1278" w:type="dxa"/>
            <w:vMerge/>
            <w:vAlign w:val="center"/>
            <w:hideMark/>
          </w:tcPr>
          <w:p w14:paraId="0BA947B0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782FED8C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61B9000E" w14:textId="71BD3E66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3.</w:t>
            </w:r>
            <w:r>
              <w:rPr>
                <w:rFonts w:ascii="Calibri" w:eastAsia="Times New Roman" w:hAnsi="Calibri" w:cs="Calibri"/>
                <w:sz w:val="18"/>
              </w:rPr>
              <w:t>5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1143FE04" w14:textId="15A7B9A5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Tra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nimi i vazhduesh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m i ekspert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ve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strukturave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Monitorimit dhe Vler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simit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lidhje me implementimin e Programit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skema e NE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7874ACA0" w14:textId="5747483B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Trajnimi I strukturave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i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realizuar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38A52DFD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33E20E37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  <w:p w14:paraId="237AA0D6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SHSSH</w:t>
            </w:r>
          </w:p>
          <w:p w14:paraId="2F0F79C6" w14:textId="679BE8DD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AKPA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70AA5FAA" w14:textId="61035639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vazhdim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24FE75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118,125.0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4D42B887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41ED27BE" w14:textId="77777777" w:rsidTr="00B35964">
        <w:trPr>
          <w:trHeight w:val="799"/>
        </w:trPr>
        <w:tc>
          <w:tcPr>
            <w:tcW w:w="1278" w:type="dxa"/>
            <w:vMerge/>
            <w:vAlign w:val="center"/>
            <w:hideMark/>
          </w:tcPr>
          <w:p w14:paraId="12850A5B" w14:textId="32790404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14EAF11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14:paraId="1430DE3F" w14:textId="6B39039F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3.</w:t>
            </w:r>
            <w:r>
              <w:rPr>
                <w:rFonts w:ascii="Calibri" w:eastAsia="Times New Roman" w:hAnsi="Calibri" w:cs="Calibri"/>
                <w:sz w:val="18"/>
              </w:rPr>
              <w:t>6</w:t>
            </w:r>
          </w:p>
        </w:tc>
        <w:tc>
          <w:tcPr>
            <w:tcW w:w="3221" w:type="dxa"/>
            <w:gridSpan w:val="2"/>
            <w:vMerge w:val="restart"/>
            <w:shd w:val="clear" w:color="000000" w:fill="FFFFFF"/>
            <w:vAlign w:val="center"/>
            <w:hideMark/>
          </w:tcPr>
          <w:p w14:paraId="31CAE244" w14:textId="0A297EA1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D021D">
              <w:rPr>
                <w:rFonts w:ascii="Calibri" w:eastAsia="Times New Roman" w:hAnsi="Calibri" w:cs="Calibri"/>
                <w:sz w:val="18"/>
              </w:rPr>
              <w:t>Draftimi i mekanizmit të ankimimit të përfituesve të cilët dalin nga skema e NE dhe rishikimi i kritereve përjashtimore nga rregulli i përfundimit të afatit si dhe kushtet dhe kriteret për ri-aplikimin në programin e NE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4F571A34" w14:textId="7DAD017D" w:rsidR="00323A7E" w:rsidRPr="002412A3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2412A3">
              <w:rPr>
                <w:rFonts w:ascii="Calibri" w:eastAsia="Times New Roman" w:hAnsi="Calibri" w:cs="Calibri"/>
                <w:sz w:val="18"/>
                <w:lang w:val="it-IT"/>
              </w:rPr>
              <w:t>Udhëzimi per Mekanizmin e Apelimit të përfituesve i hartuar</w:t>
            </w:r>
          </w:p>
        </w:tc>
        <w:tc>
          <w:tcPr>
            <w:tcW w:w="1373" w:type="dxa"/>
            <w:vMerge w:val="restart"/>
            <w:shd w:val="clear" w:color="000000" w:fill="FFFFFF"/>
            <w:vAlign w:val="center"/>
            <w:hideMark/>
          </w:tcPr>
          <w:p w14:paraId="5B950C03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7FFAC81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</w:tc>
        <w:tc>
          <w:tcPr>
            <w:tcW w:w="1438" w:type="dxa"/>
            <w:gridSpan w:val="2"/>
            <w:vMerge w:val="restart"/>
            <w:shd w:val="clear" w:color="000000" w:fill="FFFFFF"/>
            <w:vAlign w:val="center"/>
            <w:hideMark/>
          </w:tcPr>
          <w:p w14:paraId="4258F84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 </w:t>
            </w:r>
          </w:p>
          <w:p w14:paraId="6A38CC99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 </w:t>
            </w:r>
          </w:p>
        </w:tc>
        <w:tc>
          <w:tcPr>
            <w:tcW w:w="1981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200DF482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13,860,000.0 </w:t>
            </w:r>
          </w:p>
        </w:tc>
        <w:tc>
          <w:tcPr>
            <w:tcW w:w="1817" w:type="dxa"/>
            <w:gridSpan w:val="2"/>
            <w:vMerge w:val="restart"/>
            <w:shd w:val="clear" w:color="auto" w:fill="FFFFFF" w:themeFill="background1"/>
            <w:vAlign w:val="center"/>
          </w:tcPr>
          <w:p w14:paraId="5269DA6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5C5F223D" w14:textId="77777777" w:rsidTr="00B35964">
        <w:trPr>
          <w:trHeight w:val="312"/>
        </w:trPr>
        <w:tc>
          <w:tcPr>
            <w:tcW w:w="1278" w:type="dxa"/>
            <w:vMerge/>
            <w:vAlign w:val="center"/>
            <w:hideMark/>
          </w:tcPr>
          <w:p w14:paraId="421A7AF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0CEB3E0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37B666A9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3221" w:type="dxa"/>
            <w:gridSpan w:val="2"/>
            <w:vMerge/>
            <w:vAlign w:val="center"/>
            <w:hideMark/>
          </w:tcPr>
          <w:p w14:paraId="6B8D210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20382BBC" w14:textId="723F9374" w:rsidR="00323A7E" w:rsidRPr="002412A3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2412A3">
              <w:rPr>
                <w:rFonts w:ascii="Calibri" w:eastAsia="Times New Roman" w:hAnsi="Calibri" w:cs="Calibri"/>
                <w:sz w:val="18"/>
                <w:lang w:val="it-IT"/>
              </w:rPr>
              <w:t>Përcaktimi i kritereve të reja përjashtimore nga rregulli i përfundimit të afatit si dhe kushtet dhe kriteret për ri-aplikimin në programin e NE</w:t>
            </w:r>
          </w:p>
        </w:tc>
        <w:tc>
          <w:tcPr>
            <w:tcW w:w="1373" w:type="dxa"/>
            <w:vMerge/>
            <w:shd w:val="clear" w:color="000000" w:fill="FFFFFF"/>
            <w:vAlign w:val="center"/>
            <w:hideMark/>
          </w:tcPr>
          <w:p w14:paraId="25F2954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</w:p>
        </w:tc>
        <w:tc>
          <w:tcPr>
            <w:tcW w:w="1438" w:type="dxa"/>
            <w:gridSpan w:val="2"/>
            <w:vMerge/>
            <w:shd w:val="clear" w:color="000000" w:fill="FFFFFF"/>
            <w:vAlign w:val="center"/>
            <w:hideMark/>
          </w:tcPr>
          <w:p w14:paraId="57105B88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</w:p>
        </w:tc>
        <w:tc>
          <w:tcPr>
            <w:tcW w:w="1981" w:type="dxa"/>
            <w:gridSpan w:val="2"/>
            <w:vMerge/>
            <w:shd w:val="clear" w:color="auto" w:fill="FFFFFF" w:themeFill="background1"/>
            <w:vAlign w:val="center"/>
            <w:hideMark/>
          </w:tcPr>
          <w:p w14:paraId="2994624D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</w:pPr>
          </w:p>
        </w:tc>
        <w:tc>
          <w:tcPr>
            <w:tcW w:w="1817" w:type="dxa"/>
            <w:gridSpan w:val="2"/>
            <w:vMerge/>
            <w:shd w:val="clear" w:color="auto" w:fill="FFFFFF" w:themeFill="background1"/>
            <w:vAlign w:val="center"/>
          </w:tcPr>
          <w:p w14:paraId="3C8BDB0C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lang w:val="it-IT"/>
              </w:rPr>
            </w:pPr>
          </w:p>
        </w:tc>
      </w:tr>
      <w:tr w:rsidR="00323A7E" w:rsidRPr="006F7B61" w14:paraId="05B421BE" w14:textId="77777777" w:rsidTr="00B35964">
        <w:trPr>
          <w:trHeight w:val="2526"/>
        </w:trPr>
        <w:tc>
          <w:tcPr>
            <w:tcW w:w="1278" w:type="dxa"/>
            <w:shd w:val="clear" w:color="auto" w:fill="auto"/>
            <w:vAlign w:val="center"/>
            <w:hideMark/>
          </w:tcPr>
          <w:p w14:paraId="48B177E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szCs w:val="32"/>
              </w:rPr>
            </w:pPr>
            <w:r w:rsidRPr="006F7B61">
              <w:rPr>
                <w:rFonts w:ascii="Calibri" w:eastAsia="Times New Roman" w:hAnsi="Calibri" w:cs="Calibri"/>
                <w:sz w:val="18"/>
                <w:szCs w:val="32"/>
              </w:rPr>
              <w:t>4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  <w:hideMark/>
          </w:tcPr>
          <w:p w14:paraId="5B525294" w14:textId="299DF8D9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Vler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 i impaktit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masave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daljen nga skema e NE dhe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simin e q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ndruesh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m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parshem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NE.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036DA4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4.1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536169FA" w14:textId="2B8CACBB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Hartimi i Raportit për Vleresimin Sasior dhe Cil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sor të zbatimit dhe efektivitetit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masave të PATP-ve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integrimin dhe ri-integrimin e suksesshëm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rfituesve të NE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tregun e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5B2B89E4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Raport vleresimi i ndikimit te zbatimit të masave të PATP-ve I hartuar dhe diskutuar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3055D189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</w:p>
          <w:p w14:paraId="67544936" w14:textId="7857D399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63A5A93B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 </w:t>
            </w:r>
          </w:p>
          <w:p w14:paraId="655A160C" w14:textId="5C0E94E3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TM4 2021-2022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C0CAD7D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3,167,500.0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1D687A2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4C236A5C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2B20FB76" w14:textId="77777777" w:rsidTr="00B35964">
        <w:trPr>
          <w:trHeight w:val="1510"/>
        </w:trPr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14:paraId="6A7F3316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  <w:szCs w:val="32"/>
              </w:rPr>
            </w:pPr>
            <w:r w:rsidRPr="006F7B61">
              <w:rPr>
                <w:rFonts w:ascii="Calibri" w:eastAsia="Times New Roman" w:hAnsi="Calibri" w:cs="Calibri"/>
                <w:sz w:val="18"/>
                <w:szCs w:val="32"/>
              </w:rPr>
              <w:lastRenderedPageBreak/>
              <w:t>5</w:t>
            </w:r>
          </w:p>
        </w:tc>
        <w:tc>
          <w:tcPr>
            <w:tcW w:w="1599" w:type="dxa"/>
            <w:gridSpan w:val="2"/>
            <w:vMerge w:val="restart"/>
            <w:shd w:val="clear" w:color="auto" w:fill="auto"/>
            <w:vAlign w:val="center"/>
            <w:hideMark/>
          </w:tcPr>
          <w:p w14:paraId="2CD7D49F" w14:textId="5575C688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 Konsultimi dhe Nd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rgjegj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simi </w:t>
            </w:r>
            <w:r>
              <w:rPr>
                <w:rFonts w:ascii="Calibri" w:eastAsia="Times New Roman" w:hAnsi="Calibri" w:cs="Calibri"/>
                <w:sz w:val="18"/>
              </w:rPr>
              <w:t>i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publikut lidhur me Programin e Daljes nga skema e NE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rmjet fushatave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nd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rgjegj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simit dhe informimit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vazhduesh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m t</w:t>
            </w:r>
            <w:r>
              <w:rPr>
                <w:rFonts w:ascii="Calibri" w:eastAsia="Times New Roman" w:hAnsi="Calibri" w:cs="Calibri"/>
                <w:sz w:val="18"/>
              </w:rPr>
              <w:t>ë publikut m</w:t>
            </w:r>
            <w:r w:rsidRPr="006F7B61">
              <w:rPr>
                <w:rFonts w:ascii="Calibri" w:eastAsia="Times New Roman" w:hAnsi="Calibri" w:cs="Calibri"/>
                <w:sz w:val="18"/>
              </w:rPr>
              <w:t>bi zbatimin e tij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6F049460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5.1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1DBD250F" w14:textId="0D95E5DA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rgatitja e artikujve me destinacion portalet/gazetat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cilat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</w:t>
            </w:r>
            <w:r>
              <w:rPr>
                <w:rFonts w:ascii="Calibri" w:eastAsia="Times New Roman" w:hAnsi="Calibri" w:cs="Calibri"/>
                <w:sz w:val="18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</w:rPr>
              <w:t>pjegojn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</w:rPr>
              <w:t>Programin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e Daljes, masat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ajo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rfshin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 nj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tranzicion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but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nga NE, tek tra</w:t>
            </w:r>
            <w:r>
              <w:rPr>
                <w:rFonts w:ascii="Calibri" w:eastAsia="Times New Roman" w:hAnsi="Calibri" w:cs="Calibri"/>
                <w:sz w:val="18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</w:rPr>
              <w:t>nimet dhe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 i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NE dhe familjeve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tyre,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</w:t>
            </w:r>
            <w:r>
              <w:rPr>
                <w:rFonts w:ascii="Calibri" w:eastAsia="Times New Roman" w:hAnsi="Calibri" w:cs="Calibri"/>
                <w:sz w:val="18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</w:rPr>
              <w:t>pjegojn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gjithashtu avantazhet e nje aksioni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till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,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ilustruara me histori suksesi – duke pasqyruar histori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ngjash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m nga i njejti rajon.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7C435F6D" w14:textId="7D09288A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12 artikuj Viti I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br/>
              <w:t>6 artikuj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vitet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vazhdim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1E8794BB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3FB0D488" w14:textId="7B1D37A3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1C038B1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 4 2022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EFAC40C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2,191,818.2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053FD50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7CDC511F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34A79558" w14:textId="77777777" w:rsidTr="00B35964">
        <w:trPr>
          <w:trHeight w:val="1879"/>
        </w:trPr>
        <w:tc>
          <w:tcPr>
            <w:tcW w:w="1278" w:type="dxa"/>
            <w:vMerge/>
            <w:vAlign w:val="center"/>
            <w:hideMark/>
          </w:tcPr>
          <w:p w14:paraId="2B5BB89B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78C5EAD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BD061AC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5.2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643FFCA4" w14:textId="4B43B00A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Takime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bashki me personat e interesuar, familjet e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NE, me zyrtar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rbimit social shtet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ror dhe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agjen</w:t>
            </w:r>
            <w:r>
              <w:rPr>
                <w:rFonts w:ascii="Calibri" w:eastAsia="Times New Roman" w:hAnsi="Calibri" w:cs="Calibri"/>
                <w:sz w:val="18"/>
              </w:rPr>
              <w:t>c</w:t>
            </w:r>
            <w:r w:rsidRPr="006F7B61">
              <w:rPr>
                <w:rFonts w:ascii="Calibri" w:eastAsia="Times New Roman" w:hAnsi="Calibri" w:cs="Calibri"/>
                <w:sz w:val="18"/>
              </w:rPr>
              <w:t>ive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simit, OJQ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cilat zbatojn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projekte me financime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huaja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rajon, pronar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bizneseve lokale, me diskutime rreth tra</w:t>
            </w:r>
            <w:r>
              <w:rPr>
                <w:rFonts w:ascii="Calibri" w:eastAsia="Times New Roman" w:hAnsi="Calibri" w:cs="Calibri"/>
                <w:sz w:val="18"/>
              </w:rPr>
              <w:t>j</w:t>
            </w:r>
            <w:r w:rsidRPr="006F7B61">
              <w:rPr>
                <w:rFonts w:ascii="Calibri" w:eastAsia="Times New Roman" w:hAnsi="Calibri" w:cs="Calibri"/>
                <w:sz w:val="18"/>
              </w:rPr>
              <w:t>nimeve, edukimit dhe mund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simit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t publike dhe jo vet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m. Takimet do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ken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edhe prezenc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 e mediave lokale.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05CC14C5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61 takime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430E810F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01458058" w14:textId="330BD3C3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19040CB4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TM4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681933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129,818.2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739BA220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2C627C5A" w14:textId="77777777" w:rsidTr="00B35964">
        <w:trPr>
          <w:trHeight w:val="1321"/>
        </w:trPr>
        <w:tc>
          <w:tcPr>
            <w:tcW w:w="1278" w:type="dxa"/>
            <w:vMerge/>
            <w:vAlign w:val="center"/>
            <w:hideMark/>
          </w:tcPr>
          <w:p w14:paraId="1C192437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0B8F244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D6E9607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5.3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667E37CC" w14:textId="37339695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rgatitja e njoftimeve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 shtyp, me informacione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detajuara rreth strategjis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, avantazheve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masat e tranzicionit do t’i sjellin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NE pasi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ken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hyr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tregun e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s, rreth historive t</w:t>
            </w:r>
            <w:r>
              <w:rPr>
                <w:rFonts w:ascii="Calibri" w:eastAsia="Times New Roman" w:hAnsi="Calibri" w:cs="Calibri"/>
                <w:sz w:val="18"/>
              </w:rPr>
              <w:t xml:space="preserve">ë </w:t>
            </w:r>
            <w:r w:rsidRPr="006F7B61">
              <w:rPr>
                <w:rFonts w:ascii="Calibri" w:eastAsia="Times New Roman" w:hAnsi="Calibri" w:cs="Calibri"/>
                <w:sz w:val="18"/>
              </w:rPr>
              <w:t>suksesit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ilustrojn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sueshm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rin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e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NE, etj.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132F823A" w14:textId="4DB0E853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1 artikull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</w:rPr>
              <w:t>ç</w:t>
            </w:r>
            <w:r w:rsidRPr="006F7B61">
              <w:rPr>
                <w:rFonts w:ascii="Calibri" w:eastAsia="Times New Roman" w:hAnsi="Calibri" w:cs="Calibri"/>
                <w:sz w:val="18"/>
              </w:rPr>
              <w:t>do tre</w:t>
            </w:r>
            <w:r>
              <w:rPr>
                <w:rFonts w:ascii="Calibri" w:eastAsia="Times New Roman" w:hAnsi="Calibri" w:cs="Calibri"/>
                <w:sz w:val="18"/>
              </w:rPr>
              <w:t xml:space="preserve"> </w:t>
            </w:r>
            <w:r w:rsidRPr="006F7B61">
              <w:rPr>
                <w:rFonts w:ascii="Calibri" w:eastAsia="Times New Roman" w:hAnsi="Calibri" w:cs="Calibri"/>
                <w:sz w:val="18"/>
              </w:rPr>
              <w:t>muaj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3E8E11C0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20A39AE0" w14:textId="3EA1FD88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2D532028" w14:textId="02DB4954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vazhdim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9055A66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246,330.0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0D69D9E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30D9BE33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7D3FF928" w14:textId="77777777" w:rsidTr="00B35964">
        <w:trPr>
          <w:trHeight w:val="3153"/>
        </w:trPr>
        <w:tc>
          <w:tcPr>
            <w:tcW w:w="1278" w:type="dxa"/>
            <w:vMerge/>
            <w:vAlign w:val="center"/>
            <w:hideMark/>
          </w:tcPr>
          <w:p w14:paraId="594949A8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6B9B9E60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4C17BBB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5.4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458A2D08" w14:textId="2661CF38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Raportime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TV (jo me shum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se 3-4 minuta), me intervista dhe mesazhe kyçe nga personat e interesuar, me persona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cil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 jan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larguar tashm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nga skema e NE dhe jan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pun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suar si dhe me zyrtar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lokale.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br/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br/>
              <w:t>Debate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studio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TV komb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tare dhe lokale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lidhje me 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nd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sin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e strategjis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Daljes nga NE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60EE70E8" w14:textId="190FE02F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6 seri TV do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rgatiten gjat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vitit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par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TV komb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tare dhe lokale</w:t>
            </w:r>
          </w:p>
          <w:p w14:paraId="366E6ECA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</w:p>
          <w:p w14:paraId="459D148C" w14:textId="7CD2F2F5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3 programe speciale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 xml:space="preserve">Në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TV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t’u transmetuar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mediat komb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tare 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br/>
            </w:r>
          </w:p>
          <w:p w14:paraId="362A1E8B" w14:textId="0A87F0A0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12 debate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studio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TV lokale</w:t>
            </w:r>
          </w:p>
          <w:p w14:paraId="08E2929E" w14:textId="77777777" w:rsidR="00323A7E" w:rsidRPr="006F7B61" w:rsidRDefault="00323A7E" w:rsidP="00B35964">
            <w:pPr>
              <w:spacing w:after="240"/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br/>
            </w:r>
          </w:p>
        </w:tc>
        <w:tc>
          <w:tcPr>
            <w:tcW w:w="1373" w:type="dxa"/>
            <w:shd w:val="clear" w:color="000000" w:fill="FFFFFF"/>
            <w:vAlign w:val="center"/>
          </w:tcPr>
          <w:p w14:paraId="3ADAA8EE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771F5BE3" w14:textId="7682D9CB" w:rsidR="00C364C1" w:rsidRPr="006F7B61" w:rsidRDefault="00C364C1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05841C9F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  <w:p w14:paraId="384AA96C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TM4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3526DC7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2,598,315.0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2C4A211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32E4593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71FFC773" w14:textId="77777777" w:rsidTr="00B35964">
        <w:trPr>
          <w:trHeight w:val="610"/>
        </w:trPr>
        <w:tc>
          <w:tcPr>
            <w:tcW w:w="1278" w:type="dxa"/>
            <w:vMerge/>
            <w:vAlign w:val="center"/>
            <w:hideMark/>
          </w:tcPr>
          <w:p w14:paraId="1A4673BC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1BD2C50C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FDE175A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5.5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0632C82B" w14:textId="40617220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Broshur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elektronike e cila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s</w:t>
            </w:r>
            <w:r>
              <w:rPr>
                <w:rFonts w:ascii="Calibri" w:eastAsia="Times New Roman" w:hAnsi="Calibri" w:cs="Calibri"/>
                <w:sz w:val="18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</w:rPr>
              <w:t>pjegoj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m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nyr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thjesht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zuar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gjith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konceptin e strategjis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, hapat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duhen nd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rmarr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nga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rfituesit, avantazhet e realizimit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k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tyre hapave drejt nj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tranzicioni nga NE, tek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 i pjessh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m apo i plot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.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6535BF75" w14:textId="7543157E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de-DE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de-DE"/>
              </w:rPr>
              <w:t>1 broshur</w:t>
            </w:r>
            <w:r>
              <w:rPr>
                <w:rFonts w:ascii="Calibri" w:eastAsia="Times New Roman" w:hAnsi="Calibri" w:cs="Calibri"/>
                <w:sz w:val="18"/>
                <w:lang w:val="de-DE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de-DE"/>
              </w:rPr>
              <w:t xml:space="preserve"> elektronike e prodhuar dhe shp</w:t>
            </w:r>
            <w:r>
              <w:rPr>
                <w:rFonts w:ascii="Calibri" w:eastAsia="Times New Roman" w:hAnsi="Calibri" w:cs="Calibri"/>
                <w:sz w:val="18"/>
                <w:lang w:val="de-DE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de-DE"/>
              </w:rPr>
              <w:t>rndare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6D94542F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59FEE14A" w14:textId="3E7C6CC4" w:rsidR="00C364C1" w:rsidRPr="006F7B61" w:rsidRDefault="00C364C1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37CFC030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TM4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80CB1F4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752,850.0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5A13A02D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3DF4C394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2D97ABC9" w14:textId="77777777" w:rsidTr="00B35964">
        <w:trPr>
          <w:trHeight w:val="1330"/>
        </w:trPr>
        <w:tc>
          <w:tcPr>
            <w:tcW w:w="1278" w:type="dxa"/>
            <w:vMerge/>
            <w:vAlign w:val="center"/>
            <w:hideMark/>
          </w:tcPr>
          <w:p w14:paraId="7C9379F0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40B9F36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8BCBDE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5.6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3BCEBCFC" w14:textId="43BFAD92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Boshura/fletepalosje t</w:t>
            </w:r>
            <w:r>
              <w:rPr>
                <w:rFonts w:ascii="Calibri" w:eastAsia="Times New Roman" w:hAnsi="Calibri" w:cs="Calibri"/>
                <w:sz w:val="18"/>
              </w:rPr>
              <w:t xml:space="preserve">ë </w:t>
            </w:r>
            <w:r w:rsidRPr="006F7B61">
              <w:rPr>
                <w:rFonts w:ascii="Calibri" w:eastAsia="Times New Roman" w:hAnsi="Calibri" w:cs="Calibri"/>
                <w:sz w:val="18"/>
              </w:rPr>
              <w:t>printuara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cilat s</w:t>
            </w:r>
            <w:r>
              <w:rPr>
                <w:rFonts w:ascii="Calibri" w:eastAsia="Times New Roman" w:hAnsi="Calibri" w:cs="Calibri"/>
                <w:sz w:val="18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</w:rPr>
              <w:t>pjegojn</w:t>
            </w:r>
            <w:r>
              <w:rPr>
                <w:rFonts w:ascii="Calibri" w:eastAsia="Times New Roman" w:hAnsi="Calibri" w:cs="Calibri"/>
                <w:sz w:val="18"/>
              </w:rPr>
              <w:t xml:space="preserve">ë </w:t>
            </w: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m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nyr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thjesht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zuar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gjith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konceptin e strategjis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, hapat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duhen nd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rmarr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nga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rfituesit, avantazhet e realizimit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k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tyre hapave drejt nj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tranzicioni nga NE, tek pun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simi i pjessh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m apo i plot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>.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0534D68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2000 kopje broshurash  </w:t>
            </w:r>
          </w:p>
          <w:p w14:paraId="5715ED3A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  <w:p w14:paraId="7F3AA627" w14:textId="289B9DAC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30,000 flet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palosje 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08052F7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  <w:p w14:paraId="42CE460B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49F9AC89" w14:textId="5CD99C54" w:rsidR="00C364C1" w:rsidRPr="006F7B61" w:rsidRDefault="00C364C1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27A01BFE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</w:p>
          <w:p w14:paraId="445EA6E8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TM4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E35DEA1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4,378,501.9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73AACA36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7A1C5FE4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Donator</w:t>
            </w:r>
            <w:r w:rsidRPr="006F7B61">
              <w:rPr>
                <w:rFonts w:ascii="Segoe UI Symbol" w:eastAsia="Times New Roman" w:hAnsi="Segoe UI Symbol" w:cs="Calibri"/>
                <w:b/>
                <w:bCs/>
                <w:sz w:val="18"/>
                <w:lang w:eastAsia="ja-JP"/>
              </w:rPr>
              <w:t>ët</w:t>
            </w:r>
          </w:p>
        </w:tc>
      </w:tr>
      <w:tr w:rsidR="00323A7E" w:rsidRPr="006F7B61" w14:paraId="12AE606F" w14:textId="77777777" w:rsidTr="00B35964">
        <w:trPr>
          <w:trHeight w:val="980"/>
        </w:trPr>
        <w:tc>
          <w:tcPr>
            <w:tcW w:w="1278" w:type="dxa"/>
            <w:vMerge/>
            <w:vAlign w:val="center"/>
            <w:hideMark/>
          </w:tcPr>
          <w:p w14:paraId="2EA5FE89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3122904F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1606E59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5.7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21A1AE5D" w14:textId="24A8BFB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Seksioni i dedikuar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 faqen zyrtare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Ministris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,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S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rbimit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S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ocial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S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htet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ror, me informacione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detajuara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lidhje me strategjin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, m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nyr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n se si do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implementohet ajo, aktivitetet q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do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organizohen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çdo rajon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informuar personat e interesuar, formatet elektronike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broshurave dhe flet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palosjeve informuese, ashtu si edhe video me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rmbajtje 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h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pjeguese. 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52AAF296" w14:textId="4FAB56F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seksion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</w:rPr>
              <w:t>faqen zyrtare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5410B9F0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0329454E" w14:textId="2DB77601" w:rsidR="00C364C1" w:rsidRPr="006F7B61" w:rsidRDefault="00C364C1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7E3AB671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TM2 2020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76151F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214,200.0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26151AB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10B073EC" w14:textId="77777777" w:rsidTr="00B35964">
        <w:trPr>
          <w:trHeight w:val="1096"/>
        </w:trPr>
        <w:tc>
          <w:tcPr>
            <w:tcW w:w="1278" w:type="dxa"/>
            <w:vMerge/>
            <w:vAlign w:val="center"/>
            <w:hideMark/>
          </w:tcPr>
          <w:p w14:paraId="46B62B29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55A29D82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A81675B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5.8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3166F3D0" w14:textId="3E7DCE1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lang w:val="it-IT"/>
              </w:rPr>
            </w:pP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Postime periodike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rrjetet dhe mediat sociale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Ministris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dhe Sh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rbimeve Sociale Shtet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rore n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lidhje me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gjitha aktivitetet e sip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r-p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rmendura, si edhe rrethe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rmbajtjes q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do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>rgatitet gjate implementimit t</w:t>
            </w:r>
            <w:r>
              <w:rPr>
                <w:rFonts w:ascii="Calibri" w:eastAsia="Times New Roman" w:hAnsi="Calibri" w:cs="Calibri"/>
                <w:sz w:val="18"/>
                <w:lang w:val="it-IT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  <w:lang w:val="it-IT"/>
              </w:rPr>
              <w:t xml:space="preserve"> tyre. 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55A43FAA" w14:textId="7FA8E3E2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4 postime 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muaj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1F5567AC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192B3314" w14:textId="7BB3EDEB" w:rsidR="00C364C1" w:rsidRPr="006F7B61" w:rsidRDefault="00C364C1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7A4AEF23" w14:textId="38895FFB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vazdhim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7C51B0F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   584,181.8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4FABE657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</w:tc>
      </w:tr>
      <w:tr w:rsidR="00323A7E" w:rsidRPr="006F7B61" w14:paraId="40234A4C" w14:textId="77777777" w:rsidTr="00B35964">
        <w:trPr>
          <w:trHeight w:val="862"/>
        </w:trPr>
        <w:tc>
          <w:tcPr>
            <w:tcW w:w="1278" w:type="dxa"/>
            <w:vMerge/>
            <w:vAlign w:val="center"/>
            <w:hideMark/>
          </w:tcPr>
          <w:p w14:paraId="5C5BCFD1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  <w:szCs w:val="32"/>
              </w:rPr>
            </w:pPr>
          </w:p>
        </w:tc>
        <w:tc>
          <w:tcPr>
            <w:tcW w:w="1599" w:type="dxa"/>
            <w:gridSpan w:val="2"/>
            <w:vMerge/>
            <w:vAlign w:val="center"/>
            <w:hideMark/>
          </w:tcPr>
          <w:p w14:paraId="49406FC6" w14:textId="77777777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480CD985" w14:textId="77777777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5.9</w:t>
            </w:r>
          </w:p>
        </w:tc>
        <w:tc>
          <w:tcPr>
            <w:tcW w:w="3221" w:type="dxa"/>
            <w:gridSpan w:val="2"/>
            <w:shd w:val="clear" w:color="000000" w:fill="FFFFFF"/>
            <w:vAlign w:val="center"/>
            <w:hideMark/>
          </w:tcPr>
          <w:p w14:paraId="30018DF2" w14:textId="2CAA1D3B" w:rsidR="00323A7E" w:rsidRPr="00CB7C4C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 w:rsidRPr="00CB7C4C">
              <w:rPr>
                <w:rFonts w:ascii="Calibri" w:eastAsia="Times New Roman" w:hAnsi="Calibri" w:cs="Calibri"/>
                <w:sz w:val="18"/>
              </w:rPr>
              <w:t>Anketime periodike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 xml:space="preserve"> kryera nga zyrtare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 xml:space="preserve"> informimit dhe </w:t>
            </w:r>
            <w:r>
              <w:rPr>
                <w:rFonts w:ascii="Calibri" w:eastAsia="Times New Roman" w:hAnsi="Calibri" w:cs="Calibri"/>
                <w:sz w:val="18"/>
              </w:rPr>
              <w:t>m</w:t>
            </w:r>
            <w:r w:rsidRPr="00CB7C4C">
              <w:rPr>
                <w:rFonts w:ascii="Calibri" w:eastAsia="Times New Roman" w:hAnsi="Calibri" w:cs="Calibri"/>
                <w:sz w:val="18"/>
              </w:rPr>
              <w:t>ar</w:t>
            </w:r>
            <w:r>
              <w:rPr>
                <w:rFonts w:ascii="Calibri" w:eastAsia="Times New Roman" w:hAnsi="Calibri" w:cs="Calibri"/>
                <w:sz w:val="18"/>
              </w:rPr>
              <w:t>rë</w:t>
            </w:r>
            <w:r w:rsidRPr="00CB7C4C">
              <w:rPr>
                <w:rFonts w:ascii="Calibri" w:eastAsia="Times New Roman" w:hAnsi="Calibri" w:cs="Calibri"/>
                <w:sz w:val="18"/>
              </w:rPr>
              <w:t>dh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>nieve me Publikun (PR), me q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>llim matjen e nivelit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 xml:space="preserve"> informimit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 xml:space="preserve"> p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>rfituesve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 xml:space="preserve"> NE dhe personave t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CB7C4C">
              <w:rPr>
                <w:rFonts w:ascii="Calibri" w:eastAsia="Times New Roman" w:hAnsi="Calibri" w:cs="Calibri"/>
                <w:sz w:val="18"/>
              </w:rPr>
              <w:t xml:space="preserve"> interesuar.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14:paraId="46AF5375" w14:textId="454EE6F9" w:rsidR="00323A7E" w:rsidRPr="006F7B61" w:rsidRDefault="00323A7E" w:rsidP="00B35964">
            <w:pPr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ç</w:t>
            </w:r>
            <w:r w:rsidRPr="006F7B61">
              <w:rPr>
                <w:rFonts w:ascii="Calibri" w:eastAsia="Times New Roman" w:hAnsi="Calibri" w:cs="Calibri"/>
                <w:sz w:val="18"/>
              </w:rPr>
              <w:t>do 6 mujor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14:paraId="59A36D2E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MSHMS</w:t>
            </w:r>
          </w:p>
          <w:p w14:paraId="4F21817A" w14:textId="28C0F339" w:rsidR="00C364C1" w:rsidRPr="006F7B61" w:rsidRDefault="00C364C1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>
              <w:rPr>
                <w:rFonts w:ascii="Calibri" w:eastAsia="Times New Roman" w:hAnsi="Calibri" w:cs="Calibri"/>
                <w:sz w:val="18"/>
              </w:rPr>
              <w:t>MFE</w:t>
            </w:r>
          </w:p>
        </w:tc>
        <w:tc>
          <w:tcPr>
            <w:tcW w:w="1438" w:type="dxa"/>
            <w:gridSpan w:val="2"/>
            <w:shd w:val="clear" w:color="000000" w:fill="FFFFFF"/>
            <w:vAlign w:val="center"/>
            <w:hideMark/>
          </w:tcPr>
          <w:p w14:paraId="2F55EC73" w14:textId="76A87C0E" w:rsidR="00323A7E" w:rsidRPr="006F7B61" w:rsidRDefault="00323A7E" w:rsidP="00B35964">
            <w:pPr>
              <w:jc w:val="center"/>
              <w:rPr>
                <w:rFonts w:ascii="Calibri" w:eastAsia="Times New Roman" w:hAnsi="Calibri" w:cs="Calibri"/>
                <w:sz w:val="18"/>
              </w:rPr>
            </w:pPr>
            <w:r w:rsidRPr="006F7B61">
              <w:rPr>
                <w:rFonts w:ascii="Calibri" w:eastAsia="Times New Roman" w:hAnsi="Calibri" w:cs="Calibri"/>
                <w:sz w:val="18"/>
              </w:rPr>
              <w:t>n</w:t>
            </w:r>
            <w:r>
              <w:rPr>
                <w:rFonts w:ascii="Calibri" w:eastAsia="Times New Roman" w:hAnsi="Calibri" w:cs="Calibri"/>
                <w:sz w:val="18"/>
              </w:rPr>
              <w:t>ë</w:t>
            </w:r>
            <w:r w:rsidRPr="006F7B61">
              <w:rPr>
                <w:rFonts w:ascii="Calibri" w:eastAsia="Times New Roman" w:hAnsi="Calibri" w:cs="Calibri"/>
                <w:sz w:val="18"/>
              </w:rPr>
              <w:t xml:space="preserve"> vazdhim</w:t>
            </w:r>
          </w:p>
        </w:tc>
        <w:tc>
          <w:tcPr>
            <w:tcW w:w="198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5CC508" w14:textId="77777777" w:rsidR="00323A7E" w:rsidRPr="006F7B61" w:rsidRDefault="00323A7E" w:rsidP="00B35964">
            <w:pPr>
              <w:jc w:val="right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 xml:space="preserve">                                1,285,200.0 </w:t>
            </w:r>
          </w:p>
        </w:tc>
        <w:tc>
          <w:tcPr>
            <w:tcW w:w="1817" w:type="dxa"/>
            <w:gridSpan w:val="2"/>
            <w:shd w:val="clear" w:color="auto" w:fill="FFFFFF" w:themeFill="background1"/>
            <w:vAlign w:val="center"/>
          </w:tcPr>
          <w:p w14:paraId="23B62314" w14:textId="77777777" w:rsidR="00323A7E" w:rsidRDefault="00323A7E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  <w:r w:rsidRPr="006F7B61">
              <w:rPr>
                <w:rFonts w:ascii="Calibri" w:eastAsia="Times New Roman" w:hAnsi="Calibri" w:cs="Calibri"/>
                <w:b/>
                <w:bCs/>
                <w:sz w:val="18"/>
              </w:rPr>
              <w:t>Buxheti Shtetit</w:t>
            </w:r>
          </w:p>
          <w:p w14:paraId="1D6C858B" w14:textId="77777777" w:rsidR="00D12E9B" w:rsidRDefault="00D12E9B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17FF81CD" w14:textId="77777777" w:rsidR="00D12E9B" w:rsidRPr="006F7B61" w:rsidRDefault="00D12E9B" w:rsidP="00B3596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</w:tc>
      </w:tr>
      <w:tr w:rsidR="00D12E9B" w14:paraId="41B85858" w14:textId="5E915C76" w:rsidTr="00B35964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390"/>
        </w:trPr>
        <w:tc>
          <w:tcPr>
            <w:tcW w:w="1278" w:type="dxa"/>
          </w:tcPr>
          <w:p w14:paraId="463A32B6" w14:textId="77777777" w:rsidR="00D12E9B" w:rsidRDefault="00D12E9B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  <w:bookmarkStart w:id="2" w:name="_GoBack"/>
            <w:bookmarkEnd w:id="2"/>
          </w:p>
        </w:tc>
        <w:tc>
          <w:tcPr>
            <w:tcW w:w="1574" w:type="dxa"/>
          </w:tcPr>
          <w:p w14:paraId="4AC285D4" w14:textId="7D2744BE" w:rsidR="00D12E9B" w:rsidRPr="00B211C2" w:rsidRDefault="00D12E9B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b/>
                <w:sz w:val="22"/>
                <w:szCs w:val="22"/>
                <w:lang w:val="sq-AL"/>
              </w:rPr>
            </w:pPr>
            <w:r w:rsidRPr="00B211C2">
              <w:rPr>
                <w:rFonts w:ascii="Times New Roman" w:eastAsia="MS Mincho" w:hAnsi="Times New Roman" w:cs="Times New Roman"/>
                <w:b/>
                <w:sz w:val="22"/>
                <w:szCs w:val="22"/>
                <w:lang w:val="sq-AL"/>
              </w:rPr>
              <w:t xml:space="preserve">TOTALI </w:t>
            </w:r>
          </w:p>
        </w:tc>
        <w:tc>
          <w:tcPr>
            <w:tcW w:w="3914" w:type="dxa"/>
            <w:gridSpan w:val="3"/>
          </w:tcPr>
          <w:p w14:paraId="367FBECD" w14:textId="77777777" w:rsidR="00D12E9B" w:rsidRDefault="00D12E9B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gridSpan w:val="2"/>
          </w:tcPr>
          <w:p w14:paraId="48A86039" w14:textId="77777777" w:rsidR="00D12E9B" w:rsidRDefault="00D12E9B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1380" w:type="dxa"/>
            <w:gridSpan w:val="2"/>
          </w:tcPr>
          <w:p w14:paraId="6E1F71EB" w14:textId="77777777" w:rsidR="00D12E9B" w:rsidRDefault="00D12E9B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1431" w:type="dxa"/>
          </w:tcPr>
          <w:p w14:paraId="51AE4852" w14:textId="77777777" w:rsidR="00D12E9B" w:rsidRDefault="00D12E9B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1974" w:type="dxa"/>
            <w:gridSpan w:val="2"/>
          </w:tcPr>
          <w:p w14:paraId="2E9862DC" w14:textId="70C89981" w:rsidR="00D12E9B" w:rsidRPr="00B211C2" w:rsidRDefault="00B211C2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b/>
                <w:lang w:val="sq-AL"/>
              </w:rPr>
            </w:pPr>
            <w:r w:rsidRPr="00B211C2">
              <w:rPr>
                <w:rFonts w:ascii="Times New Roman" w:eastAsia="MS Mincho" w:hAnsi="Times New Roman" w:cs="Times New Roman"/>
                <w:b/>
                <w:lang w:val="sq-AL"/>
              </w:rPr>
              <w:t>169,726,773.70</w:t>
            </w:r>
          </w:p>
        </w:tc>
        <w:tc>
          <w:tcPr>
            <w:tcW w:w="1824" w:type="dxa"/>
            <w:gridSpan w:val="2"/>
          </w:tcPr>
          <w:p w14:paraId="0994FF5A" w14:textId="77777777" w:rsidR="00D12E9B" w:rsidRDefault="00D12E9B" w:rsidP="00B35964">
            <w:pPr>
              <w:spacing w:after="120"/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val="sq-AL"/>
              </w:rPr>
            </w:pPr>
          </w:p>
        </w:tc>
      </w:tr>
    </w:tbl>
    <w:p w14:paraId="40F96F42" w14:textId="77777777" w:rsidR="006F7B61" w:rsidRPr="006F7B61" w:rsidRDefault="006F7B61" w:rsidP="006F7B61">
      <w:pPr>
        <w:spacing w:after="120"/>
        <w:jc w:val="both"/>
        <w:rPr>
          <w:rFonts w:ascii="Times New Roman" w:eastAsia="MS Mincho" w:hAnsi="Times New Roman" w:cs="Times New Roman"/>
          <w:sz w:val="22"/>
          <w:szCs w:val="22"/>
          <w:lang w:val="sq-AL"/>
        </w:rPr>
        <w:sectPr w:rsidR="006F7B61" w:rsidRPr="006F7B61" w:rsidSect="006F7B61">
          <w:footerReference w:type="default" r:id="rId8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2E0E1E" w14:textId="77777777" w:rsidR="006F7B61" w:rsidRPr="006F7B61" w:rsidRDefault="006F7B61" w:rsidP="006F7B61">
      <w:pPr>
        <w:rPr>
          <w:rFonts w:ascii="Calibri" w:eastAsia="MS Mincho" w:hAnsi="Calibri" w:cs="Times New Roman"/>
        </w:rPr>
      </w:pPr>
    </w:p>
    <w:p w14:paraId="707D9C0E" w14:textId="1855610F" w:rsidR="00D14011" w:rsidRPr="00D87038" w:rsidRDefault="00D14011" w:rsidP="00D14011">
      <w:pPr>
        <w:rPr>
          <w:rFonts w:ascii="Times New Roman" w:hAnsi="Times New Roman" w:cs="Times New Roman"/>
          <w:lang w:val="sq-AL"/>
        </w:rPr>
      </w:pPr>
    </w:p>
    <w:p w14:paraId="2807B02E" w14:textId="77777777" w:rsidR="00323A7E" w:rsidRPr="00D87038" w:rsidRDefault="00323A7E">
      <w:pPr>
        <w:rPr>
          <w:rFonts w:ascii="Times New Roman" w:hAnsi="Times New Roman" w:cs="Times New Roman"/>
          <w:lang w:val="sq-AL"/>
        </w:rPr>
      </w:pPr>
    </w:p>
    <w:sectPr w:rsidR="00323A7E" w:rsidRPr="00D87038" w:rsidSect="006F7B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872A4" w14:textId="77777777" w:rsidR="005D49A2" w:rsidRDefault="005D49A2" w:rsidP="00415D81">
      <w:r>
        <w:separator/>
      </w:r>
    </w:p>
  </w:endnote>
  <w:endnote w:type="continuationSeparator" w:id="0">
    <w:p w14:paraId="307B46AD" w14:textId="77777777" w:rsidR="005D49A2" w:rsidRDefault="005D49A2" w:rsidP="0041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7135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E07841" w14:textId="32E62ABC" w:rsidR="00860C5A" w:rsidRDefault="00860C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2A4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77229E9" w14:textId="77777777" w:rsidR="00860C5A" w:rsidRDefault="00860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4A5C" w14:textId="77777777" w:rsidR="005D49A2" w:rsidRDefault="005D49A2" w:rsidP="00415D81">
      <w:r>
        <w:separator/>
      </w:r>
    </w:p>
  </w:footnote>
  <w:footnote w:type="continuationSeparator" w:id="0">
    <w:p w14:paraId="4611916D" w14:textId="77777777" w:rsidR="005D49A2" w:rsidRDefault="005D49A2" w:rsidP="0041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2F10"/>
    <w:multiLevelType w:val="hybridMultilevel"/>
    <w:tmpl w:val="3CA60B68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D03AB"/>
    <w:multiLevelType w:val="hybridMultilevel"/>
    <w:tmpl w:val="F29497C0"/>
    <w:lvl w:ilvl="0" w:tplc="0D04CD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77358"/>
    <w:multiLevelType w:val="hybridMultilevel"/>
    <w:tmpl w:val="7472C51A"/>
    <w:lvl w:ilvl="0" w:tplc="976C80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54596"/>
    <w:multiLevelType w:val="hybridMultilevel"/>
    <w:tmpl w:val="8D16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1B35"/>
    <w:multiLevelType w:val="multilevel"/>
    <w:tmpl w:val="B49A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8" w:hanging="53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40220D"/>
    <w:multiLevelType w:val="hybridMultilevel"/>
    <w:tmpl w:val="BAA61618"/>
    <w:lvl w:ilvl="0" w:tplc="7842E3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22A66"/>
    <w:multiLevelType w:val="hybridMultilevel"/>
    <w:tmpl w:val="B06469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63E2"/>
    <w:multiLevelType w:val="hybridMultilevel"/>
    <w:tmpl w:val="2B548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D02B8"/>
    <w:multiLevelType w:val="hybridMultilevel"/>
    <w:tmpl w:val="2A649F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75EEA"/>
    <w:multiLevelType w:val="hybridMultilevel"/>
    <w:tmpl w:val="06309CD4"/>
    <w:lvl w:ilvl="0" w:tplc="F97C9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B2B2F"/>
    <w:multiLevelType w:val="hybridMultilevel"/>
    <w:tmpl w:val="BF80264E"/>
    <w:lvl w:ilvl="0" w:tplc="7B980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08A0"/>
    <w:multiLevelType w:val="hybridMultilevel"/>
    <w:tmpl w:val="1552727C"/>
    <w:lvl w:ilvl="0" w:tplc="759C3E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D1891"/>
    <w:multiLevelType w:val="hybridMultilevel"/>
    <w:tmpl w:val="5AE2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47367"/>
    <w:multiLevelType w:val="hybridMultilevel"/>
    <w:tmpl w:val="B78621BE"/>
    <w:lvl w:ilvl="0" w:tplc="55A638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F55F5"/>
    <w:multiLevelType w:val="hybridMultilevel"/>
    <w:tmpl w:val="F4E216CE"/>
    <w:lvl w:ilvl="0" w:tplc="855EE3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66F8C"/>
    <w:multiLevelType w:val="hybridMultilevel"/>
    <w:tmpl w:val="37701B9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55BBB"/>
    <w:multiLevelType w:val="hybridMultilevel"/>
    <w:tmpl w:val="CD723226"/>
    <w:lvl w:ilvl="0" w:tplc="FE6C10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50435"/>
    <w:multiLevelType w:val="hybridMultilevel"/>
    <w:tmpl w:val="409281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6"/>
  </w:num>
  <w:num w:numId="5">
    <w:abstractNumId w:val="17"/>
  </w:num>
  <w:num w:numId="6">
    <w:abstractNumId w:val="0"/>
  </w:num>
  <w:num w:numId="7">
    <w:abstractNumId w:val="15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  <w:num w:numId="15">
    <w:abstractNumId w:val="8"/>
  </w:num>
  <w:num w:numId="16">
    <w:abstractNumId w:val="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NTExtLAwNTcyMjFV0lEKTi0uzszPAykwrQUAHoCrgSwAAAA="/>
  </w:docVars>
  <w:rsids>
    <w:rsidRoot w:val="00415D81"/>
    <w:rsid w:val="0000437C"/>
    <w:rsid w:val="0000578E"/>
    <w:rsid w:val="00007986"/>
    <w:rsid w:val="00057E8D"/>
    <w:rsid w:val="00060DBD"/>
    <w:rsid w:val="00066E73"/>
    <w:rsid w:val="00073592"/>
    <w:rsid w:val="00077E70"/>
    <w:rsid w:val="00081214"/>
    <w:rsid w:val="000A4575"/>
    <w:rsid w:val="000A5C08"/>
    <w:rsid w:val="000F4F1C"/>
    <w:rsid w:val="000F6F2F"/>
    <w:rsid w:val="001355DB"/>
    <w:rsid w:val="001745AD"/>
    <w:rsid w:val="0017684A"/>
    <w:rsid w:val="001806E7"/>
    <w:rsid w:val="001C365F"/>
    <w:rsid w:val="001D0FA2"/>
    <w:rsid w:val="001D7C67"/>
    <w:rsid w:val="001F4B7E"/>
    <w:rsid w:val="001F732B"/>
    <w:rsid w:val="0021137B"/>
    <w:rsid w:val="00211610"/>
    <w:rsid w:val="002327E5"/>
    <w:rsid w:val="002412A3"/>
    <w:rsid w:val="002462F4"/>
    <w:rsid w:val="00265519"/>
    <w:rsid w:val="002754C2"/>
    <w:rsid w:val="00284C01"/>
    <w:rsid w:val="00285E66"/>
    <w:rsid w:val="002A2796"/>
    <w:rsid w:val="002A38C2"/>
    <w:rsid w:val="002A5570"/>
    <w:rsid w:val="002B32C9"/>
    <w:rsid w:val="002B53A3"/>
    <w:rsid w:val="002B5F20"/>
    <w:rsid w:val="002C7E03"/>
    <w:rsid w:val="002E7C1C"/>
    <w:rsid w:val="002F474D"/>
    <w:rsid w:val="00323A7E"/>
    <w:rsid w:val="003454B8"/>
    <w:rsid w:val="003522C6"/>
    <w:rsid w:val="0037645B"/>
    <w:rsid w:val="003922DF"/>
    <w:rsid w:val="003A1AF4"/>
    <w:rsid w:val="003A1CA0"/>
    <w:rsid w:val="003A637E"/>
    <w:rsid w:val="003B7A4A"/>
    <w:rsid w:val="003E6028"/>
    <w:rsid w:val="003E741E"/>
    <w:rsid w:val="003F44CC"/>
    <w:rsid w:val="003F4AD6"/>
    <w:rsid w:val="00400C18"/>
    <w:rsid w:val="004070D8"/>
    <w:rsid w:val="00415D81"/>
    <w:rsid w:val="00436F51"/>
    <w:rsid w:val="004500EF"/>
    <w:rsid w:val="004516D5"/>
    <w:rsid w:val="004533A9"/>
    <w:rsid w:val="004617CC"/>
    <w:rsid w:val="004A2E52"/>
    <w:rsid w:val="004A41EC"/>
    <w:rsid w:val="004A60F7"/>
    <w:rsid w:val="004B118D"/>
    <w:rsid w:val="004F6DA4"/>
    <w:rsid w:val="005112C0"/>
    <w:rsid w:val="00516992"/>
    <w:rsid w:val="00536F22"/>
    <w:rsid w:val="005478CF"/>
    <w:rsid w:val="005538C7"/>
    <w:rsid w:val="00557AC1"/>
    <w:rsid w:val="00563FD5"/>
    <w:rsid w:val="00575EA6"/>
    <w:rsid w:val="00596C6B"/>
    <w:rsid w:val="005B15DB"/>
    <w:rsid w:val="005D49A2"/>
    <w:rsid w:val="005F3A3E"/>
    <w:rsid w:val="00600043"/>
    <w:rsid w:val="00606065"/>
    <w:rsid w:val="0061342A"/>
    <w:rsid w:val="00616232"/>
    <w:rsid w:val="0063270F"/>
    <w:rsid w:val="00647CF0"/>
    <w:rsid w:val="006C2AB8"/>
    <w:rsid w:val="006D021D"/>
    <w:rsid w:val="006D2B17"/>
    <w:rsid w:val="006F0476"/>
    <w:rsid w:val="006F2BE9"/>
    <w:rsid w:val="006F7B61"/>
    <w:rsid w:val="00704702"/>
    <w:rsid w:val="00705046"/>
    <w:rsid w:val="007242C8"/>
    <w:rsid w:val="00753B78"/>
    <w:rsid w:val="00776B1A"/>
    <w:rsid w:val="0077759E"/>
    <w:rsid w:val="007A0970"/>
    <w:rsid w:val="007B37C1"/>
    <w:rsid w:val="007E187A"/>
    <w:rsid w:val="007E1CDB"/>
    <w:rsid w:val="008242DA"/>
    <w:rsid w:val="0085701A"/>
    <w:rsid w:val="00860C5A"/>
    <w:rsid w:val="00860DC6"/>
    <w:rsid w:val="00864AF3"/>
    <w:rsid w:val="00866283"/>
    <w:rsid w:val="00867D4B"/>
    <w:rsid w:val="00870662"/>
    <w:rsid w:val="00883C72"/>
    <w:rsid w:val="008B3BCA"/>
    <w:rsid w:val="008D3EE7"/>
    <w:rsid w:val="008E069E"/>
    <w:rsid w:val="008F1CDA"/>
    <w:rsid w:val="00914D0C"/>
    <w:rsid w:val="009335FA"/>
    <w:rsid w:val="00940679"/>
    <w:rsid w:val="00952FDE"/>
    <w:rsid w:val="00985384"/>
    <w:rsid w:val="009C3E60"/>
    <w:rsid w:val="009E21AB"/>
    <w:rsid w:val="00A07F9A"/>
    <w:rsid w:val="00A24316"/>
    <w:rsid w:val="00A833F8"/>
    <w:rsid w:val="00A8554B"/>
    <w:rsid w:val="00AA6E96"/>
    <w:rsid w:val="00AD0BAA"/>
    <w:rsid w:val="00AE023B"/>
    <w:rsid w:val="00AE70E6"/>
    <w:rsid w:val="00B062F3"/>
    <w:rsid w:val="00B203C7"/>
    <w:rsid w:val="00B20F5D"/>
    <w:rsid w:val="00B211C2"/>
    <w:rsid w:val="00B30053"/>
    <w:rsid w:val="00B35964"/>
    <w:rsid w:val="00B655F3"/>
    <w:rsid w:val="00B656A8"/>
    <w:rsid w:val="00B730CD"/>
    <w:rsid w:val="00B8324F"/>
    <w:rsid w:val="00B862D0"/>
    <w:rsid w:val="00B935FD"/>
    <w:rsid w:val="00BA48B4"/>
    <w:rsid w:val="00BB0E86"/>
    <w:rsid w:val="00BD59ED"/>
    <w:rsid w:val="00BE6712"/>
    <w:rsid w:val="00BF1C8C"/>
    <w:rsid w:val="00BF54EF"/>
    <w:rsid w:val="00BF6EA5"/>
    <w:rsid w:val="00C042CD"/>
    <w:rsid w:val="00C340FB"/>
    <w:rsid w:val="00C364C1"/>
    <w:rsid w:val="00C3714E"/>
    <w:rsid w:val="00C41627"/>
    <w:rsid w:val="00C5737B"/>
    <w:rsid w:val="00C8596E"/>
    <w:rsid w:val="00CB68AD"/>
    <w:rsid w:val="00CB7C4C"/>
    <w:rsid w:val="00CC7417"/>
    <w:rsid w:val="00D12E9B"/>
    <w:rsid w:val="00D14011"/>
    <w:rsid w:val="00D32593"/>
    <w:rsid w:val="00D530E9"/>
    <w:rsid w:val="00D57BA0"/>
    <w:rsid w:val="00D6717A"/>
    <w:rsid w:val="00D81584"/>
    <w:rsid w:val="00D87038"/>
    <w:rsid w:val="00D94331"/>
    <w:rsid w:val="00D9651E"/>
    <w:rsid w:val="00DA2450"/>
    <w:rsid w:val="00DB0323"/>
    <w:rsid w:val="00DB3BDF"/>
    <w:rsid w:val="00DC2FC7"/>
    <w:rsid w:val="00DE6E5F"/>
    <w:rsid w:val="00DF4CA0"/>
    <w:rsid w:val="00DF54D2"/>
    <w:rsid w:val="00E03BE2"/>
    <w:rsid w:val="00E12753"/>
    <w:rsid w:val="00E30555"/>
    <w:rsid w:val="00E403F5"/>
    <w:rsid w:val="00E6258A"/>
    <w:rsid w:val="00E74904"/>
    <w:rsid w:val="00E8414A"/>
    <w:rsid w:val="00E858B3"/>
    <w:rsid w:val="00E9239C"/>
    <w:rsid w:val="00E96DE5"/>
    <w:rsid w:val="00EA156A"/>
    <w:rsid w:val="00EA331C"/>
    <w:rsid w:val="00EB199C"/>
    <w:rsid w:val="00ED1205"/>
    <w:rsid w:val="00F11069"/>
    <w:rsid w:val="00F14410"/>
    <w:rsid w:val="00F22801"/>
    <w:rsid w:val="00F425BB"/>
    <w:rsid w:val="00F432A4"/>
    <w:rsid w:val="00F72727"/>
    <w:rsid w:val="00F87EFD"/>
    <w:rsid w:val="00F97C7F"/>
    <w:rsid w:val="00FA021E"/>
    <w:rsid w:val="00FA785D"/>
    <w:rsid w:val="00FA7A6E"/>
    <w:rsid w:val="00FB3147"/>
    <w:rsid w:val="00FC190F"/>
    <w:rsid w:val="00FD5311"/>
    <w:rsid w:val="00FE0605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DBE9"/>
  <w15:docId w15:val="{3BE10262-A25A-43D1-BE1A-670ACAF9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D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D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6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D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15D81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Normal1">
    <w:name w:val="Normal1"/>
    <w:basedOn w:val="Normal"/>
    <w:rsid w:val="00415D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81"/>
    <w:rPr>
      <w:rFonts w:ascii="Times New Roman" w:hAnsi="Times New Roman" w:cs="Times New Roman"/>
      <w:sz w:val="18"/>
      <w:szCs w:val="18"/>
    </w:rPr>
  </w:style>
  <w:style w:type="paragraph" w:customStyle="1" w:styleId="Standard6">
    <w:name w:val="Standard+6"/>
    <w:basedOn w:val="Normal"/>
    <w:link w:val="Standard6Zchn"/>
    <w:qFormat/>
    <w:rsid w:val="00415D8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Standard6Zchn">
    <w:name w:val="Standard+6 Zchn"/>
    <w:link w:val="Standard6"/>
    <w:rsid w:val="00415D81"/>
    <w:rPr>
      <w:rFonts w:ascii="Arial" w:eastAsia="Times New Roman" w:hAnsi="Arial" w:cs="Times New Roman"/>
      <w:sz w:val="20"/>
      <w:szCs w:val="20"/>
      <w:lang w:val="en-GB" w:eastAsia="x-none"/>
    </w:rPr>
  </w:style>
  <w:style w:type="table" w:styleId="TableGrid">
    <w:name w:val="Table Grid"/>
    <w:basedOn w:val="TableNormal"/>
    <w:uiPriority w:val="39"/>
    <w:rsid w:val="0041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OOTNOTES,fn,Footnote Text Char1 Char,Footnote Text Char2 Char Char,Footnote Text Char Char2 Char Char,Footnote Text Char1 Char Char Char,Footnote Text Char Char Char Char Char"/>
    <w:basedOn w:val="Normal"/>
    <w:link w:val="FootnoteTextChar"/>
    <w:uiPriority w:val="99"/>
    <w:unhideWhenUsed/>
    <w:rsid w:val="00415D8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Footnote Text Char1 Char Char,Footnote Text Char2 Char Char Char,Footnote Text Char Char2 Char Char Char,Footnote Text Char1 Char Char Char Char"/>
    <w:basedOn w:val="DefaultParagraphFont"/>
    <w:link w:val="FootnoteText"/>
    <w:uiPriority w:val="99"/>
    <w:semiHidden/>
    <w:rsid w:val="00415D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"/>
    <w:basedOn w:val="DefaultParagraphFont"/>
    <w:uiPriority w:val="99"/>
    <w:unhideWhenUsed/>
    <w:rsid w:val="00415D8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5D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516D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516D5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4516D5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16D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16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16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16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16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16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16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16D5"/>
    <w:pPr>
      <w:ind w:left="192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6E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4F6D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DA4"/>
  </w:style>
  <w:style w:type="paragraph" w:styleId="Footer">
    <w:name w:val="footer"/>
    <w:basedOn w:val="Normal"/>
    <w:link w:val="FooterChar"/>
    <w:uiPriority w:val="99"/>
    <w:unhideWhenUsed/>
    <w:rsid w:val="004F6D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DA4"/>
  </w:style>
  <w:style w:type="paragraph" w:styleId="CommentText">
    <w:name w:val="annotation text"/>
    <w:basedOn w:val="Normal"/>
    <w:link w:val="CommentTextChar"/>
    <w:uiPriority w:val="99"/>
    <w:unhideWhenUsed/>
    <w:rsid w:val="002327E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7E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lid-translation">
    <w:name w:val="tlid-translation"/>
    <w:basedOn w:val="DefaultParagraphFont"/>
    <w:rsid w:val="002327E5"/>
  </w:style>
  <w:style w:type="paragraph" w:customStyle="1" w:styleId="Text2">
    <w:name w:val="Text 2"/>
    <w:basedOn w:val="Normal"/>
    <w:link w:val="Text2Char"/>
    <w:rsid w:val="00D14011"/>
    <w:pPr>
      <w:tabs>
        <w:tab w:val="left" w:pos="2161"/>
      </w:tabs>
      <w:ind w:left="1202"/>
    </w:pPr>
    <w:rPr>
      <w:rFonts w:ascii="Times New Roman" w:eastAsia="Times New Roman" w:hAnsi="Times New Roman" w:cs="Times New Roman"/>
      <w:szCs w:val="20"/>
    </w:rPr>
  </w:style>
  <w:style w:type="character" w:customStyle="1" w:styleId="Text2Char">
    <w:name w:val="Text 2 Char"/>
    <w:link w:val="Text2"/>
    <w:locked/>
    <w:rsid w:val="00D14011"/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basedOn w:val="Normal"/>
    <w:link w:val="NoSpacingChar"/>
    <w:qFormat/>
    <w:rsid w:val="00D14011"/>
    <w:pPr>
      <w:jc w:val="both"/>
    </w:pPr>
    <w:rPr>
      <w:rFonts w:ascii="Calibri" w:eastAsia="Times New Roman" w:hAnsi="Calibri" w:cs="Times New Roman"/>
      <w:sz w:val="20"/>
      <w:szCs w:val="20"/>
      <w:lang w:val="sq-AL" w:bidi="en-US"/>
    </w:rPr>
  </w:style>
  <w:style w:type="character" w:customStyle="1" w:styleId="NoSpacingChar">
    <w:name w:val="No Spacing Char"/>
    <w:link w:val="NoSpacing"/>
    <w:rsid w:val="00D14011"/>
    <w:rPr>
      <w:rFonts w:ascii="Calibri" w:eastAsia="Times New Roman" w:hAnsi="Calibri" w:cs="Times New Roman"/>
      <w:sz w:val="20"/>
      <w:szCs w:val="20"/>
      <w:lang w:val="sq-AL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401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011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01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4617CC"/>
    <w:rPr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83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946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4757B1-2373-4F5C-963F-6951B04E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Arjola Stafa</cp:lastModifiedBy>
  <cp:revision>2</cp:revision>
  <cp:lastPrinted>2019-11-20T09:21:00Z</cp:lastPrinted>
  <dcterms:created xsi:type="dcterms:W3CDTF">2020-01-23T11:24:00Z</dcterms:created>
  <dcterms:modified xsi:type="dcterms:W3CDTF">2020-01-23T11:24:00Z</dcterms:modified>
</cp:coreProperties>
</file>